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33339" w14:textId="34C0057B" w:rsidR="00C44AF5" w:rsidRDefault="00EF7316">
      <w:pPr>
        <w:spacing w:before="600"/>
        <w:jc w:val="center"/>
      </w:pPr>
      <w:r>
        <w:rPr>
          <w:b/>
          <w:bCs/>
          <w:color w:val="8B0000"/>
          <w:sz w:val="52"/>
          <w:szCs w:val="52"/>
        </w:rPr>
        <w:t xml:space="preserve"> Philadelphia Federation of Teachers</w:t>
      </w:r>
    </w:p>
    <w:p w14:paraId="36F0FFED" w14:textId="77777777" w:rsidR="00C44AF5" w:rsidRDefault="00F25B3F">
      <w:pPr>
        <w:spacing w:before="200"/>
        <w:jc w:val="center"/>
      </w:pPr>
      <w:r>
        <w:rPr>
          <w:b/>
          <w:bCs/>
          <w:color w:val="1F3864"/>
          <w:sz w:val="36"/>
          <w:szCs w:val="36"/>
        </w:rPr>
        <w:t>WHERE DO YOUR UNION DUES GO?</w:t>
      </w:r>
    </w:p>
    <w:p w14:paraId="5697085B" w14:textId="77777777" w:rsidR="00C44AF5" w:rsidRDefault="00F25B3F">
      <w:pPr>
        <w:spacing w:before="160" w:after="400"/>
        <w:jc w:val="center"/>
      </w:pPr>
      <w:r>
        <w:rPr>
          <w:color w:val="666666"/>
        </w:rPr>
        <w:t>A LOOK AT PFT SPENDING IN FISCAL YEAR 2024 (Jun 1, 2023 – May 31, 2024)</w:t>
      </w:r>
    </w:p>
    <w:p w14:paraId="7B285C0E" w14:textId="77777777" w:rsidR="00C44AF5" w:rsidRDefault="00C44AF5">
      <w:pPr>
        <w:pBdr>
          <w:bottom w:val="single" w:sz="6" w:space="1" w:color="666666"/>
        </w:pBdr>
        <w:spacing w:before="200" w:after="400"/>
      </w:pPr>
    </w:p>
    <w:p w14:paraId="56606C7C" w14:textId="08AFEA47" w:rsidR="00C44AF5" w:rsidRDefault="00F25B3F">
      <w:pPr>
        <w:spacing w:after="200" w:line="276" w:lineRule="auto"/>
        <w:jc w:val="both"/>
      </w:pPr>
      <w:r>
        <w:t>The Philadelphia Federation of Teachers is a labor organization representing thousands of educators in Philadelphia schools and AFT’s largest local union in Pennsylvania.</w:t>
      </w:r>
      <w:r>
        <w:rPr>
          <w:rStyle w:val="EndnoteReference"/>
        </w:rPr>
        <w:endnoteReference w:id="1"/>
      </w:r>
      <w:r>
        <w:t xml:space="preserve"> PFT collects $9.7 million in member dues to advance the interests of teachers and their families. But where does that money go? This report examines PFT's finances based on its IRS Form 990 filing for fiscal year 2024 (ending May 31, 2024) and reveals a stark reality: far more dues money flows to affiliate unions, political campaigns, and executive compensation than to activities that directly benefit classroom teachers.</w:t>
      </w:r>
    </w:p>
    <w:p w14:paraId="4C2EC45C" w14:textId="5C96A081" w:rsidR="00C44AF5" w:rsidRDefault="00F25B3F">
      <w:pPr>
        <w:spacing w:after="200" w:line="276" w:lineRule="auto"/>
        <w:jc w:val="both"/>
      </w:pPr>
      <w:r>
        <w:t>PFT’s most recent 990 filing shows total expenses of $9.1 million in FY2024, up from $7.8 million in FY2021. This represents a 15.7% increase in spending over three years. Yet the composition of that spending tells a troubling story. While teachers pay their dues expecting robust representation, contract negotiations, grievance handling, and workplace safety advocacy, PFT channels 42.9% of its operating expenses ($3.9 million) to “Payments to Affiliates.”</w:t>
      </w:r>
      <w:r>
        <w:rPr>
          <w:rStyle w:val="EndnoteReference"/>
        </w:rPr>
        <w:endnoteReference w:id="2"/>
      </w:r>
      <w:r>
        <w:t xml:space="preserve"> These are essentially pass-through payments to parent unions (AFT, AFL-CIO) that remove money from local union control and direct activity. Add another $761,000 in officer compensation and $930,518 in employee benefits, and you find that 61.5% of PFT’s budget goes to the union apparatus itself rather than representing members.</w:t>
      </w:r>
    </w:p>
    <w:p w14:paraId="392FEC2B" w14:textId="6521FC70" w:rsidR="00C44AF5" w:rsidRDefault="00F25B3F">
      <w:pPr>
        <w:spacing w:after="200" w:line="276" w:lineRule="auto"/>
        <w:jc w:val="both"/>
      </w:pPr>
      <w:r>
        <w:t>The financial red flags extend beyond spending composition. PFT's balance sheet reveals a Debt-to-Asset Ratio of 81.6%, driven largely by $14.1 million in "Grants Payable" liabilities.</w:t>
      </w:r>
      <w:r>
        <w:rPr>
          <w:rStyle w:val="EndnoteReference"/>
        </w:rPr>
        <w:endnoteReference w:id="3"/>
      </w:r>
      <w:r>
        <w:t xml:space="preserve"> The 990 also reports $452,951 in interest expense, a high cost that reduces funds available for member services. </w:t>
      </w:r>
    </w:p>
    <w:p w14:paraId="7E83F2ED" w14:textId="77777777" w:rsidR="00C44AF5" w:rsidRDefault="00F25B3F">
      <w:pPr>
        <w:spacing w:after="200" w:line="276" w:lineRule="auto"/>
        <w:jc w:val="both"/>
      </w:pPr>
      <w:r>
        <w:t>Beyond the union's operating budget, PFT’s political action committee (PAC) has distributed $1.8 million to political candidates and causes, overwhelmingly favoring Democratic candidates and progressive causes (99.4% of total PAC spending).</w:t>
      </w:r>
      <w:r>
        <w:rPr>
          <w:rStyle w:val="EndnoteReference"/>
        </w:rPr>
        <w:endnoteReference w:id="4"/>
      </w:r>
      <w:r>
        <w:t xml:space="preserve"> PFT’s PAC also directed $108,800 to Friends of Helen Gym, the campaign committee of a former Philadelphia City Councilmember. As a sitting at-large Councilmember, Gym authored the 2022 city law and Human Relations Commission regulations that require every youth-serving institution in Philadelphia to adopt affirmative policies facilitating gender transition by minors, including using a child’s chosen name and pronouns regardless of parental wishes.</w:t>
      </w:r>
      <w:r>
        <w:rPr>
          <w:rStyle w:val="EndnoteReference"/>
        </w:rPr>
        <w:endnoteReference w:id="5"/>
      </w:r>
    </w:p>
    <w:p w14:paraId="270B6EFA" w14:textId="77777777" w:rsidR="00C44AF5" w:rsidRDefault="00F25B3F">
      <w:pPr>
        <w:spacing w:after="200" w:line="276" w:lineRule="auto"/>
        <w:jc w:val="both"/>
      </w:pPr>
      <w:r>
        <w:t>PFT's lobbying operations are handled by Bellevue Strategies, a firm that simultaneously represents 85+ clients, including gun control advocacy groups like Everytown for Gun Safety.</w:t>
      </w:r>
      <w:r>
        <w:rPr>
          <w:rStyle w:val="EndnoteReference"/>
        </w:rPr>
        <w:endnoteReference w:id="6"/>
      </w:r>
      <w:r>
        <w:t xml:space="preserve"> </w:t>
      </w:r>
      <w:r>
        <w:lastRenderedPageBreak/>
        <w:t>While teachers contribute to political agendas through their dues, the union's lobbyist network intersects with causes unrelated to education or union interests. This raises questions about alignment between dues payers' expectations and the causes their money supports.</w:t>
      </w:r>
    </w:p>
    <w:p w14:paraId="7CAD307A" w14:textId="77777777" w:rsidR="00C44AF5" w:rsidRDefault="00F25B3F">
      <w:pPr>
        <w:spacing w:after="200" w:line="276" w:lineRule="auto"/>
        <w:jc w:val="both"/>
      </w:pPr>
      <w:r>
        <w:t>This report presents the data from PFT's most recent 990 filing to help members understand how their dues are allocated, which compensation decisions are driving budget increases, where political spending is concentrated, and what governance safeguards, or lack thereof, exist to ensure accountability. Teachers deserve transparency about union finances. Here are the facts.</w:t>
      </w:r>
    </w:p>
    <w:p w14:paraId="1B29B959" w14:textId="77777777" w:rsidR="00C44AF5" w:rsidRDefault="00F25B3F">
      <w:pPr>
        <w:spacing w:before="360" w:after="200"/>
      </w:pPr>
      <w:r>
        <w:rPr>
          <w:b/>
          <w:bCs/>
          <w:color w:val="8B0000"/>
          <w:sz w:val="26"/>
          <w:szCs w:val="26"/>
        </w:rPr>
        <w:t>FINANCIAL POSITION</w:t>
      </w:r>
    </w:p>
    <w:p w14:paraId="2AB85CEE" w14:textId="6705D7B1" w:rsidR="00C44AF5" w:rsidRDefault="00F25B3F">
      <w:pPr>
        <w:spacing w:after="200" w:line="276" w:lineRule="auto"/>
        <w:jc w:val="both"/>
      </w:pPr>
      <w:r>
        <w:t>PFT's financial trajectory over the past five fiscal years reveals rising revenue but concerning debt levels. Member dues form the backbone of PFT's funding: in FY2024, dues generated $9.7 million of the union’s $10.7 million total revenue, 89.9% of the total.</w:t>
      </w:r>
      <w:r>
        <w:rPr>
          <w:rStyle w:val="EndnoteReference"/>
        </w:rPr>
        <w:endnoteReference w:id="7"/>
      </w:r>
      <w:r>
        <w:t xml:space="preserve"> The remaining 10.1% comes from rental income ($1.0 million), staff assistance fees ($38,880), investment returns ($36,998), and miscellaneous sources. This heavy reliance on member dues means the union's financial health depends entirely on continued collections from its workforce.</w:t>
      </w:r>
    </w:p>
    <w:p w14:paraId="7DD1E8E1" w14:textId="3F098623" w:rsidR="00C44AF5" w:rsidRDefault="00F25B3F">
      <w:pPr>
        <w:spacing w:after="200" w:line="276" w:lineRule="auto"/>
        <w:jc w:val="both"/>
      </w:pPr>
      <w:r>
        <w:t>The union holds $17.7 million in total assets but is burdened with $14.4 million in liabilities, resulting in net assets of only $3.3 million.</w:t>
      </w:r>
      <w:r>
        <w:rPr>
          <w:rStyle w:val="EndnoteReference"/>
        </w:rPr>
        <w:endnoteReference w:id="8"/>
      </w:r>
      <w:r>
        <w:t xml:space="preserve"> The largest liability is $14.1 million in "Grants Payable," representing per-capita obligations owed to parent unions and affiliated entities. The 990 reports $452,951 in interest expense, reducing the funds available for direct member services. For perspective, this interest bill alone exceeds what many unions spend on education or member programs.</w:t>
      </w:r>
    </w:p>
    <w:p w14:paraId="78DFF872" w14:textId="77777777" w:rsidR="00C44AF5" w:rsidRDefault="00F25B3F">
      <w:pPr>
        <w:spacing w:after="200" w:line="276" w:lineRule="auto"/>
        <w:jc w:val="both"/>
      </w:pPr>
      <w:r>
        <w:t>The Debt-to-Asset Ratio of 81.6% signals financial strain typical of organizations with significant external obligations to parent bodies. While PFT maintains $4.5 million in liquid cash reserves, the massive grant payables obligation limits the union's flexibility to respond to member needs during economic downturns or contract negotiations. The union’s land and buildings are valued at $7.2 million in fixed assets, but the large liability balance limits PFT’s overall financial flexibility.</w:t>
      </w:r>
      <w:r>
        <w:rPr>
          <w:rStyle w:val="EndnoteReference"/>
        </w:rPr>
        <w:endnoteReference w:id="9"/>
      </w:r>
    </w:p>
    <w:tbl>
      <w:tblPr>
        <w:tblW w:w="9360" w:type="dxa"/>
        <w:tblLayout w:type="fixed"/>
        <w:tblCellMar>
          <w:top w:w="80" w:type="dxa"/>
          <w:left w:w="120" w:type="dxa"/>
          <w:bottom w:w="80" w:type="dxa"/>
          <w:right w:w="120" w:type="dxa"/>
        </w:tblCellMar>
        <w:tblLook w:val="0000" w:firstRow="0" w:lastRow="0" w:firstColumn="0" w:lastColumn="0" w:noHBand="0" w:noVBand="0"/>
      </w:tblPr>
      <w:tblGrid>
        <w:gridCol w:w="5616"/>
        <w:gridCol w:w="3744"/>
      </w:tblGrid>
      <w:tr w:rsidR="00C44AF5" w14:paraId="169E78CB" w14:textId="77777777">
        <w:tc>
          <w:tcPr>
            <w:tcW w:w="5616" w:type="dxa"/>
            <w:tcBorders>
              <w:top w:val="single" w:sz="4" w:space="0" w:color="000000"/>
              <w:left w:val="single" w:sz="4" w:space="0" w:color="000000"/>
              <w:bottom w:val="single" w:sz="4" w:space="0" w:color="000000"/>
              <w:right w:val="single" w:sz="4" w:space="0" w:color="000000"/>
            </w:tcBorders>
            <w:shd w:val="clear" w:color="auto" w:fill="1F3864"/>
          </w:tcPr>
          <w:p w14:paraId="434B1F3B" w14:textId="77777777" w:rsidR="00C44AF5" w:rsidRDefault="00F25B3F">
            <w:r>
              <w:rPr>
                <w:b/>
                <w:bCs/>
                <w:color w:val="FFFFFF"/>
                <w:sz w:val="20"/>
                <w:szCs w:val="20"/>
              </w:rPr>
              <w:t>Item</w:t>
            </w:r>
          </w:p>
        </w:tc>
        <w:tc>
          <w:tcPr>
            <w:tcW w:w="3744" w:type="dxa"/>
            <w:tcBorders>
              <w:top w:val="single" w:sz="4" w:space="0" w:color="000000"/>
              <w:left w:val="single" w:sz="4" w:space="0" w:color="000000"/>
              <w:bottom w:val="single" w:sz="4" w:space="0" w:color="000000"/>
              <w:right w:val="single" w:sz="4" w:space="0" w:color="000000"/>
            </w:tcBorders>
            <w:shd w:val="clear" w:color="auto" w:fill="1F3864"/>
          </w:tcPr>
          <w:p w14:paraId="33F9F0FA" w14:textId="77777777" w:rsidR="00C44AF5" w:rsidRDefault="00F25B3F">
            <w:pPr>
              <w:jc w:val="right"/>
            </w:pPr>
            <w:r>
              <w:rPr>
                <w:b/>
                <w:bCs/>
                <w:color w:val="FFFFFF"/>
                <w:sz w:val="20"/>
                <w:szCs w:val="20"/>
              </w:rPr>
              <w:t>Amount</w:t>
            </w:r>
          </w:p>
        </w:tc>
      </w:tr>
      <w:tr w:rsidR="00C44AF5" w14:paraId="38C7E19C" w14:textId="77777777">
        <w:tc>
          <w:tcPr>
            <w:tcW w:w="5616" w:type="dxa"/>
            <w:tcBorders>
              <w:top w:val="single" w:sz="4" w:space="0" w:color="000000"/>
              <w:left w:val="single" w:sz="4" w:space="0" w:color="000000"/>
              <w:bottom w:val="single" w:sz="4" w:space="0" w:color="000000"/>
              <w:right w:val="single" w:sz="4" w:space="0" w:color="000000"/>
            </w:tcBorders>
          </w:tcPr>
          <w:p w14:paraId="588CD2A5" w14:textId="77777777" w:rsidR="00C44AF5" w:rsidRDefault="00F25B3F">
            <w:r>
              <w:rPr>
                <w:sz w:val="20"/>
                <w:szCs w:val="20"/>
              </w:rPr>
              <w:t>Total Assets (May 31, 2024)</w:t>
            </w:r>
          </w:p>
        </w:tc>
        <w:tc>
          <w:tcPr>
            <w:tcW w:w="3744" w:type="dxa"/>
            <w:tcBorders>
              <w:top w:val="single" w:sz="4" w:space="0" w:color="000000"/>
              <w:left w:val="single" w:sz="4" w:space="0" w:color="000000"/>
              <w:bottom w:val="single" w:sz="4" w:space="0" w:color="000000"/>
              <w:right w:val="single" w:sz="4" w:space="0" w:color="000000"/>
            </w:tcBorders>
          </w:tcPr>
          <w:p w14:paraId="2D79E80C" w14:textId="77777777" w:rsidR="00C44AF5" w:rsidRDefault="00F25B3F">
            <w:pPr>
              <w:jc w:val="right"/>
            </w:pPr>
            <w:r>
              <w:rPr>
                <w:sz w:val="20"/>
                <w:szCs w:val="20"/>
              </w:rPr>
              <w:t>$17,667,680</w:t>
            </w:r>
          </w:p>
        </w:tc>
      </w:tr>
      <w:tr w:rsidR="00C44AF5" w14:paraId="32211888"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672701ED" w14:textId="77777777" w:rsidR="00C44AF5" w:rsidRDefault="00F25B3F">
            <w:r>
              <w:rPr>
                <w:sz w:val="20"/>
                <w:szCs w:val="20"/>
              </w:rPr>
              <w:t>Total Liabilities</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5E81BC49" w14:textId="77777777" w:rsidR="00C44AF5" w:rsidRDefault="00F25B3F">
            <w:pPr>
              <w:jc w:val="right"/>
            </w:pPr>
            <w:r>
              <w:rPr>
                <w:sz w:val="20"/>
                <w:szCs w:val="20"/>
              </w:rPr>
              <w:t>$14,410,336</w:t>
            </w:r>
          </w:p>
        </w:tc>
      </w:tr>
      <w:tr w:rsidR="00C44AF5" w14:paraId="47C3A147" w14:textId="77777777">
        <w:tc>
          <w:tcPr>
            <w:tcW w:w="5616" w:type="dxa"/>
            <w:tcBorders>
              <w:top w:val="single" w:sz="4" w:space="0" w:color="000000"/>
              <w:left w:val="single" w:sz="4" w:space="0" w:color="000000"/>
              <w:bottom w:val="single" w:sz="4" w:space="0" w:color="000000"/>
              <w:right w:val="single" w:sz="4" w:space="0" w:color="000000"/>
            </w:tcBorders>
          </w:tcPr>
          <w:p w14:paraId="3AB6F558" w14:textId="77777777" w:rsidR="00C44AF5" w:rsidRDefault="00F25B3F">
            <w:r>
              <w:rPr>
                <w:sz w:val="20"/>
                <w:szCs w:val="20"/>
              </w:rPr>
              <w:t>Net Assets</w:t>
            </w:r>
          </w:p>
        </w:tc>
        <w:tc>
          <w:tcPr>
            <w:tcW w:w="3744" w:type="dxa"/>
            <w:tcBorders>
              <w:top w:val="single" w:sz="4" w:space="0" w:color="000000"/>
              <w:left w:val="single" w:sz="4" w:space="0" w:color="000000"/>
              <w:bottom w:val="single" w:sz="4" w:space="0" w:color="000000"/>
              <w:right w:val="single" w:sz="4" w:space="0" w:color="000000"/>
            </w:tcBorders>
          </w:tcPr>
          <w:p w14:paraId="17EF05F1" w14:textId="77777777" w:rsidR="00C44AF5" w:rsidRDefault="00F25B3F">
            <w:pPr>
              <w:jc w:val="right"/>
            </w:pPr>
            <w:r>
              <w:rPr>
                <w:sz w:val="20"/>
                <w:szCs w:val="20"/>
              </w:rPr>
              <w:t>$3,257,344</w:t>
            </w:r>
          </w:p>
        </w:tc>
      </w:tr>
      <w:tr w:rsidR="00C44AF5" w14:paraId="525EBBB5"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370EF982" w14:textId="77777777" w:rsidR="00C44AF5" w:rsidRDefault="00F25B3F">
            <w:r>
              <w:rPr>
                <w:sz w:val="20"/>
                <w:szCs w:val="20"/>
              </w:rPr>
              <w:t>Cash on Hand</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5486CC76" w14:textId="77777777" w:rsidR="00C44AF5" w:rsidRDefault="00F25B3F">
            <w:pPr>
              <w:jc w:val="right"/>
            </w:pPr>
            <w:r>
              <w:rPr>
                <w:sz w:val="20"/>
                <w:szCs w:val="20"/>
              </w:rPr>
              <w:t>$4,543,956</w:t>
            </w:r>
          </w:p>
        </w:tc>
      </w:tr>
      <w:tr w:rsidR="00C44AF5" w14:paraId="14670963" w14:textId="77777777">
        <w:tc>
          <w:tcPr>
            <w:tcW w:w="5616" w:type="dxa"/>
            <w:tcBorders>
              <w:top w:val="single" w:sz="4" w:space="0" w:color="000000"/>
              <w:left w:val="single" w:sz="4" w:space="0" w:color="000000"/>
              <w:bottom w:val="single" w:sz="4" w:space="0" w:color="000000"/>
              <w:right w:val="single" w:sz="4" w:space="0" w:color="000000"/>
            </w:tcBorders>
          </w:tcPr>
          <w:p w14:paraId="1753FDBA" w14:textId="77777777" w:rsidR="00C44AF5" w:rsidRDefault="00F25B3F">
            <w:r>
              <w:rPr>
                <w:sz w:val="20"/>
                <w:szCs w:val="20"/>
              </w:rPr>
              <w:t>Grants Payable (to affiliates)</w:t>
            </w:r>
          </w:p>
        </w:tc>
        <w:tc>
          <w:tcPr>
            <w:tcW w:w="3744" w:type="dxa"/>
            <w:tcBorders>
              <w:top w:val="single" w:sz="4" w:space="0" w:color="000000"/>
              <w:left w:val="single" w:sz="4" w:space="0" w:color="000000"/>
              <w:bottom w:val="single" w:sz="4" w:space="0" w:color="000000"/>
              <w:right w:val="single" w:sz="4" w:space="0" w:color="000000"/>
            </w:tcBorders>
          </w:tcPr>
          <w:p w14:paraId="0C397C6D" w14:textId="77777777" w:rsidR="00C44AF5" w:rsidRDefault="00F25B3F">
            <w:pPr>
              <w:jc w:val="right"/>
            </w:pPr>
            <w:r>
              <w:rPr>
                <w:sz w:val="20"/>
                <w:szCs w:val="20"/>
              </w:rPr>
              <w:t>$14,148,507</w:t>
            </w:r>
          </w:p>
        </w:tc>
      </w:tr>
      <w:tr w:rsidR="00C44AF5" w14:paraId="04CF9D58"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4FDFDFC0" w14:textId="77777777" w:rsidR="00C44AF5" w:rsidRDefault="00F25B3F">
            <w:r>
              <w:rPr>
                <w:sz w:val="20"/>
                <w:szCs w:val="20"/>
              </w:rPr>
              <w:t>Land, Buildings &amp; Equipment</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5A9798D9" w14:textId="77777777" w:rsidR="00C44AF5" w:rsidRDefault="00F25B3F">
            <w:pPr>
              <w:jc w:val="right"/>
            </w:pPr>
            <w:r>
              <w:rPr>
                <w:sz w:val="20"/>
                <w:szCs w:val="20"/>
              </w:rPr>
              <w:t>$7,244,385</w:t>
            </w:r>
          </w:p>
        </w:tc>
      </w:tr>
      <w:tr w:rsidR="00C44AF5" w14:paraId="013D6F03" w14:textId="77777777">
        <w:tc>
          <w:tcPr>
            <w:tcW w:w="5616" w:type="dxa"/>
            <w:tcBorders>
              <w:top w:val="single" w:sz="4" w:space="0" w:color="000000"/>
              <w:left w:val="single" w:sz="4" w:space="0" w:color="000000"/>
              <w:bottom w:val="single" w:sz="4" w:space="0" w:color="000000"/>
              <w:right w:val="single" w:sz="4" w:space="0" w:color="000000"/>
            </w:tcBorders>
          </w:tcPr>
          <w:p w14:paraId="2BD3EAA6" w14:textId="77777777" w:rsidR="00C44AF5" w:rsidRDefault="00F25B3F">
            <w:r>
              <w:rPr>
                <w:sz w:val="20"/>
                <w:szCs w:val="20"/>
              </w:rPr>
              <w:t>Debt-to-Asset Ratio</w:t>
            </w:r>
          </w:p>
        </w:tc>
        <w:tc>
          <w:tcPr>
            <w:tcW w:w="3744" w:type="dxa"/>
            <w:tcBorders>
              <w:top w:val="single" w:sz="4" w:space="0" w:color="000000"/>
              <w:left w:val="single" w:sz="4" w:space="0" w:color="000000"/>
              <w:bottom w:val="single" w:sz="4" w:space="0" w:color="000000"/>
              <w:right w:val="single" w:sz="4" w:space="0" w:color="000000"/>
            </w:tcBorders>
          </w:tcPr>
          <w:p w14:paraId="7BDDA630" w14:textId="77777777" w:rsidR="00C44AF5" w:rsidRDefault="00F25B3F">
            <w:pPr>
              <w:jc w:val="right"/>
            </w:pPr>
            <w:r>
              <w:rPr>
                <w:sz w:val="20"/>
                <w:szCs w:val="20"/>
              </w:rPr>
              <w:t>81.6%</w:t>
            </w:r>
          </w:p>
        </w:tc>
      </w:tr>
    </w:tbl>
    <w:p w14:paraId="2CD86509" w14:textId="77777777" w:rsidR="00C44AF5" w:rsidRDefault="00F25B3F">
      <w:pPr>
        <w:spacing w:before="360" w:after="200"/>
      </w:pPr>
      <w:r>
        <w:rPr>
          <w:b/>
          <w:bCs/>
          <w:color w:val="8B0000"/>
          <w:sz w:val="26"/>
          <w:szCs w:val="26"/>
        </w:rPr>
        <w:t>SPENDING BREAKDOWN</w:t>
      </w:r>
    </w:p>
    <w:p w14:paraId="04A8E4CA" w14:textId="47FB8FAB" w:rsidR="00C44AF5" w:rsidRDefault="00F25B3F">
      <w:pPr>
        <w:spacing w:after="200" w:line="276" w:lineRule="auto"/>
        <w:jc w:val="both"/>
      </w:pPr>
      <w:r>
        <w:lastRenderedPageBreak/>
        <w:t>$9.1 million in FY2024 expenses broken down by each functional category as reported on its IRS Form 990. The 990 requires unions to report only in broad aggregate categories without breaking spending into Program vs. Management categories (unlike nonprofits reporting functional expenses). This opacity is itself a red flag: members cannot easily verify how much of their dues goes to actual representation versus overhead.</w:t>
      </w:r>
      <w:r>
        <w:rPr>
          <w:rStyle w:val="EndnoteReference"/>
        </w:rPr>
        <w:endnoteReference w:id="10"/>
      </w:r>
    </w:p>
    <w:tbl>
      <w:tblPr>
        <w:tblW w:w="9360" w:type="dxa"/>
        <w:tblLayout w:type="fixed"/>
        <w:tblCellMar>
          <w:top w:w="80" w:type="dxa"/>
          <w:left w:w="120" w:type="dxa"/>
          <w:bottom w:w="80" w:type="dxa"/>
          <w:right w:w="120" w:type="dxa"/>
        </w:tblCellMar>
        <w:tblLook w:val="0000" w:firstRow="0" w:lastRow="0" w:firstColumn="0" w:lastColumn="0" w:noHBand="0" w:noVBand="0"/>
      </w:tblPr>
      <w:tblGrid>
        <w:gridCol w:w="4680"/>
        <w:gridCol w:w="2808"/>
        <w:gridCol w:w="1872"/>
      </w:tblGrid>
      <w:tr w:rsidR="00C44AF5" w14:paraId="0968E6F1" w14:textId="77777777">
        <w:tc>
          <w:tcPr>
            <w:tcW w:w="4680" w:type="dxa"/>
            <w:tcBorders>
              <w:top w:val="single" w:sz="4" w:space="0" w:color="000000"/>
              <w:left w:val="single" w:sz="4" w:space="0" w:color="000000"/>
              <w:bottom w:val="single" w:sz="4" w:space="0" w:color="000000"/>
              <w:right w:val="single" w:sz="4" w:space="0" w:color="000000"/>
            </w:tcBorders>
            <w:shd w:val="clear" w:color="auto" w:fill="1F3864"/>
          </w:tcPr>
          <w:p w14:paraId="5E5DC22E" w14:textId="77777777" w:rsidR="00C44AF5" w:rsidRDefault="00F25B3F">
            <w:r>
              <w:rPr>
                <w:b/>
                <w:bCs/>
                <w:color w:val="FFFFFF"/>
                <w:sz w:val="20"/>
                <w:szCs w:val="20"/>
              </w:rPr>
              <w:t>Category</w:t>
            </w:r>
          </w:p>
        </w:tc>
        <w:tc>
          <w:tcPr>
            <w:tcW w:w="2808" w:type="dxa"/>
            <w:tcBorders>
              <w:top w:val="single" w:sz="4" w:space="0" w:color="000000"/>
              <w:left w:val="single" w:sz="4" w:space="0" w:color="000000"/>
              <w:bottom w:val="single" w:sz="4" w:space="0" w:color="000000"/>
              <w:right w:val="single" w:sz="4" w:space="0" w:color="000000"/>
            </w:tcBorders>
            <w:shd w:val="clear" w:color="auto" w:fill="1F3864"/>
          </w:tcPr>
          <w:p w14:paraId="4DEF4806" w14:textId="77777777" w:rsidR="00C44AF5" w:rsidRDefault="00F25B3F">
            <w:pPr>
              <w:jc w:val="right"/>
            </w:pPr>
            <w:r>
              <w:rPr>
                <w:b/>
                <w:bCs/>
                <w:color w:val="FFFFFF"/>
                <w:sz w:val="20"/>
                <w:szCs w:val="20"/>
              </w:rPr>
              <w:t>Amount</w:t>
            </w:r>
          </w:p>
        </w:tc>
        <w:tc>
          <w:tcPr>
            <w:tcW w:w="1872" w:type="dxa"/>
            <w:tcBorders>
              <w:top w:val="single" w:sz="4" w:space="0" w:color="000000"/>
              <w:left w:val="single" w:sz="4" w:space="0" w:color="000000"/>
              <w:bottom w:val="single" w:sz="4" w:space="0" w:color="000000"/>
              <w:right w:val="single" w:sz="4" w:space="0" w:color="000000"/>
            </w:tcBorders>
            <w:shd w:val="clear" w:color="auto" w:fill="1F3864"/>
          </w:tcPr>
          <w:p w14:paraId="6FAAE039" w14:textId="77777777" w:rsidR="00C44AF5" w:rsidRDefault="00F25B3F">
            <w:pPr>
              <w:jc w:val="right"/>
            </w:pPr>
            <w:r>
              <w:rPr>
                <w:b/>
                <w:bCs/>
                <w:color w:val="FFFFFF"/>
                <w:sz w:val="20"/>
                <w:szCs w:val="20"/>
              </w:rPr>
              <w:t>% of Total</w:t>
            </w:r>
          </w:p>
        </w:tc>
      </w:tr>
      <w:tr w:rsidR="00C44AF5" w14:paraId="4FD33F5D" w14:textId="77777777">
        <w:tc>
          <w:tcPr>
            <w:tcW w:w="4680" w:type="dxa"/>
            <w:tcBorders>
              <w:top w:val="single" w:sz="4" w:space="0" w:color="000000"/>
              <w:left w:val="single" w:sz="4" w:space="0" w:color="000000"/>
              <w:bottom w:val="single" w:sz="4" w:space="0" w:color="000000"/>
              <w:right w:val="single" w:sz="4" w:space="0" w:color="000000"/>
            </w:tcBorders>
          </w:tcPr>
          <w:p w14:paraId="1870652C" w14:textId="77777777" w:rsidR="00C44AF5" w:rsidRDefault="00F25B3F">
            <w:r>
              <w:rPr>
                <w:sz w:val="20"/>
                <w:szCs w:val="20"/>
              </w:rPr>
              <w:t>Payments to Affiliates</w:t>
            </w:r>
          </w:p>
        </w:tc>
        <w:tc>
          <w:tcPr>
            <w:tcW w:w="2808" w:type="dxa"/>
            <w:tcBorders>
              <w:top w:val="single" w:sz="4" w:space="0" w:color="000000"/>
              <w:left w:val="single" w:sz="4" w:space="0" w:color="000000"/>
              <w:bottom w:val="single" w:sz="4" w:space="0" w:color="000000"/>
              <w:right w:val="single" w:sz="4" w:space="0" w:color="000000"/>
            </w:tcBorders>
          </w:tcPr>
          <w:p w14:paraId="2AE6169D" w14:textId="77777777" w:rsidR="00C44AF5" w:rsidRDefault="00F25B3F">
            <w:pPr>
              <w:jc w:val="right"/>
            </w:pPr>
            <w:r>
              <w:rPr>
                <w:sz w:val="20"/>
                <w:szCs w:val="20"/>
              </w:rPr>
              <w:t>$3,888,644</w:t>
            </w:r>
          </w:p>
        </w:tc>
        <w:tc>
          <w:tcPr>
            <w:tcW w:w="1872" w:type="dxa"/>
            <w:tcBorders>
              <w:top w:val="single" w:sz="4" w:space="0" w:color="000000"/>
              <w:left w:val="single" w:sz="4" w:space="0" w:color="000000"/>
              <w:bottom w:val="single" w:sz="4" w:space="0" w:color="000000"/>
              <w:right w:val="single" w:sz="4" w:space="0" w:color="000000"/>
            </w:tcBorders>
          </w:tcPr>
          <w:p w14:paraId="57FE3F67" w14:textId="77777777" w:rsidR="00C44AF5" w:rsidRDefault="00F25B3F">
            <w:pPr>
              <w:jc w:val="right"/>
            </w:pPr>
            <w:r>
              <w:rPr>
                <w:sz w:val="20"/>
                <w:szCs w:val="20"/>
              </w:rPr>
              <w:t>42.9%</w:t>
            </w:r>
          </w:p>
        </w:tc>
      </w:tr>
      <w:tr w:rsidR="00C44AF5" w14:paraId="360085AD" w14:textId="77777777">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7632B0AB" w14:textId="77777777" w:rsidR="00C44AF5" w:rsidRDefault="00F25B3F">
            <w:r>
              <w:rPr>
                <w:sz w:val="20"/>
                <w:szCs w:val="20"/>
              </w:rPr>
              <w:t>Compensation - Officers/Directors</w:t>
            </w:r>
          </w:p>
        </w:tc>
        <w:tc>
          <w:tcPr>
            <w:tcW w:w="2808" w:type="dxa"/>
            <w:tcBorders>
              <w:top w:val="single" w:sz="4" w:space="0" w:color="000000"/>
              <w:left w:val="single" w:sz="4" w:space="0" w:color="000000"/>
              <w:bottom w:val="single" w:sz="4" w:space="0" w:color="000000"/>
              <w:right w:val="single" w:sz="4" w:space="0" w:color="000000"/>
            </w:tcBorders>
            <w:shd w:val="clear" w:color="auto" w:fill="F2F2F2"/>
          </w:tcPr>
          <w:p w14:paraId="11B080D1" w14:textId="77777777" w:rsidR="00C44AF5" w:rsidRDefault="00F25B3F">
            <w:pPr>
              <w:jc w:val="right"/>
            </w:pPr>
            <w:r>
              <w:rPr>
                <w:sz w:val="20"/>
                <w:szCs w:val="20"/>
              </w:rPr>
              <w:t>$761,366</w:t>
            </w:r>
          </w:p>
        </w:tc>
        <w:tc>
          <w:tcPr>
            <w:tcW w:w="1872" w:type="dxa"/>
            <w:tcBorders>
              <w:top w:val="single" w:sz="4" w:space="0" w:color="000000"/>
              <w:left w:val="single" w:sz="4" w:space="0" w:color="000000"/>
              <w:bottom w:val="single" w:sz="4" w:space="0" w:color="000000"/>
              <w:right w:val="single" w:sz="4" w:space="0" w:color="000000"/>
            </w:tcBorders>
            <w:shd w:val="clear" w:color="auto" w:fill="F2F2F2"/>
          </w:tcPr>
          <w:p w14:paraId="3B4A8C98" w14:textId="77777777" w:rsidR="00C44AF5" w:rsidRDefault="00F25B3F">
            <w:pPr>
              <w:jc w:val="right"/>
            </w:pPr>
            <w:r>
              <w:rPr>
                <w:sz w:val="20"/>
                <w:szCs w:val="20"/>
              </w:rPr>
              <w:t>8.4%</w:t>
            </w:r>
          </w:p>
        </w:tc>
      </w:tr>
      <w:tr w:rsidR="00C44AF5" w14:paraId="74AC3060" w14:textId="77777777">
        <w:tc>
          <w:tcPr>
            <w:tcW w:w="4680" w:type="dxa"/>
            <w:tcBorders>
              <w:top w:val="single" w:sz="4" w:space="0" w:color="000000"/>
              <w:left w:val="single" w:sz="4" w:space="0" w:color="000000"/>
              <w:bottom w:val="single" w:sz="4" w:space="0" w:color="000000"/>
              <w:right w:val="single" w:sz="4" w:space="0" w:color="000000"/>
            </w:tcBorders>
          </w:tcPr>
          <w:p w14:paraId="4D150B40" w14:textId="77777777" w:rsidR="00C44AF5" w:rsidRDefault="00F25B3F">
            <w:r>
              <w:rPr>
                <w:sz w:val="20"/>
                <w:szCs w:val="20"/>
              </w:rPr>
              <w:t>Other Salaries &amp; Wages</w:t>
            </w:r>
          </w:p>
        </w:tc>
        <w:tc>
          <w:tcPr>
            <w:tcW w:w="2808" w:type="dxa"/>
            <w:tcBorders>
              <w:top w:val="single" w:sz="4" w:space="0" w:color="000000"/>
              <w:left w:val="single" w:sz="4" w:space="0" w:color="000000"/>
              <w:bottom w:val="single" w:sz="4" w:space="0" w:color="000000"/>
              <w:right w:val="single" w:sz="4" w:space="0" w:color="000000"/>
            </w:tcBorders>
          </w:tcPr>
          <w:p w14:paraId="3B5D6214" w14:textId="77777777" w:rsidR="00C44AF5" w:rsidRDefault="00F25B3F">
            <w:pPr>
              <w:jc w:val="right"/>
            </w:pPr>
            <w:r>
              <w:rPr>
                <w:sz w:val="20"/>
                <w:szCs w:val="20"/>
              </w:rPr>
              <w:t>$1,508,900</w:t>
            </w:r>
          </w:p>
        </w:tc>
        <w:tc>
          <w:tcPr>
            <w:tcW w:w="1872" w:type="dxa"/>
            <w:tcBorders>
              <w:top w:val="single" w:sz="4" w:space="0" w:color="000000"/>
              <w:left w:val="single" w:sz="4" w:space="0" w:color="000000"/>
              <w:bottom w:val="single" w:sz="4" w:space="0" w:color="000000"/>
              <w:right w:val="single" w:sz="4" w:space="0" w:color="000000"/>
            </w:tcBorders>
          </w:tcPr>
          <w:p w14:paraId="08886C37" w14:textId="77777777" w:rsidR="00C44AF5" w:rsidRDefault="00F25B3F">
            <w:pPr>
              <w:jc w:val="right"/>
            </w:pPr>
            <w:r>
              <w:rPr>
                <w:sz w:val="20"/>
                <w:szCs w:val="20"/>
              </w:rPr>
              <w:t>16.6%</w:t>
            </w:r>
          </w:p>
        </w:tc>
      </w:tr>
      <w:tr w:rsidR="00C44AF5" w14:paraId="7916B77F" w14:textId="77777777">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0CC8CE23" w14:textId="77777777" w:rsidR="00C44AF5" w:rsidRDefault="00F25B3F">
            <w:r>
              <w:rPr>
                <w:sz w:val="20"/>
                <w:szCs w:val="20"/>
              </w:rPr>
              <w:t>Other Employee Benefits</w:t>
            </w:r>
          </w:p>
        </w:tc>
        <w:tc>
          <w:tcPr>
            <w:tcW w:w="2808" w:type="dxa"/>
            <w:tcBorders>
              <w:top w:val="single" w:sz="4" w:space="0" w:color="000000"/>
              <w:left w:val="single" w:sz="4" w:space="0" w:color="000000"/>
              <w:bottom w:val="single" w:sz="4" w:space="0" w:color="000000"/>
              <w:right w:val="single" w:sz="4" w:space="0" w:color="000000"/>
            </w:tcBorders>
            <w:shd w:val="clear" w:color="auto" w:fill="F2F2F2"/>
          </w:tcPr>
          <w:p w14:paraId="0E98C08D" w14:textId="77777777" w:rsidR="00C44AF5" w:rsidRDefault="00F25B3F">
            <w:pPr>
              <w:jc w:val="right"/>
            </w:pPr>
            <w:r>
              <w:rPr>
                <w:sz w:val="20"/>
                <w:szCs w:val="20"/>
              </w:rPr>
              <w:t>$930,518</w:t>
            </w:r>
          </w:p>
        </w:tc>
        <w:tc>
          <w:tcPr>
            <w:tcW w:w="1872" w:type="dxa"/>
            <w:tcBorders>
              <w:top w:val="single" w:sz="4" w:space="0" w:color="000000"/>
              <w:left w:val="single" w:sz="4" w:space="0" w:color="000000"/>
              <w:bottom w:val="single" w:sz="4" w:space="0" w:color="000000"/>
              <w:right w:val="single" w:sz="4" w:space="0" w:color="000000"/>
            </w:tcBorders>
            <w:shd w:val="clear" w:color="auto" w:fill="F2F2F2"/>
          </w:tcPr>
          <w:p w14:paraId="151F9EAB" w14:textId="77777777" w:rsidR="00C44AF5" w:rsidRDefault="00F25B3F">
            <w:pPr>
              <w:jc w:val="right"/>
            </w:pPr>
            <w:r>
              <w:rPr>
                <w:sz w:val="20"/>
                <w:szCs w:val="20"/>
              </w:rPr>
              <w:t>10.3%</w:t>
            </w:r>
          </w:p>
        </w:tc>
      </w:tr>
      <w:tr w:rsidR="00C44AF5" w14:paraId="3E99B526" w14:textId="77777777">
        <w:tc>
          <w:tcPr>
            <w:tcW w:w="4680" w:type="dxa"/>
            <w:tcBorders>
              <w:top w:val="single" w:sz="4" w:space="0" w:color="000000"/>
              <w:left w:val="single" w:sz="4" w:space="0" w:color="000000"/>
              <w:bottom w:val="single" w:sz="4" w:space="0" w:color="000000"/>
              <w:right w:val="single" w:sz="4" w:space="0" w:color="000000"/>
            </w:tcBorders>
          </w:tcPr>
          <w:p w14:paraId="778A77DF" w14:textId="77777777" w:rsidR="00C44AF5" w:rsidRDefault="00F25B3F">
            <w:r>
              <w:rPr>
                <w:sz w:val="20"/>
                <w:szCs w:val="20"/>
              </w:rPr>
              <w:t>Payroll Taxes</w:t>
            </w:r>
          </w:p>
        </w:tc>
        <w:tc>
          <w:tcPr>
            <w:tcW w:w="2808" w:type="dxa"/>
            <w:tcBorders>
              <w:top w:val="single" w:sz="4" w:space="0" w:color="000000"/>
              <w:left w:val="single" w:sz="4" w:space="0" w:color="000000"/>
              <w:bottom w:val="single" w:sz="4" w:space="0" w:color="000000"/>
              <w:right w:val="single" w:sz="4" w:space="0" w:color="000000"/>
            </w:tcBorders>
          </w:tcPr>
          <w:p w14:paraId="1625A611" w14:textId="77777777" w:rsidR="00C44AF5" w:rsidRDefault="00F25B3F">
            <w:pPr>
              <w:jc w:val="right"/>
            </w:pPr>
            <w:r>
              <w:rPr>
                <w:sz w:val="20"/>
                <w:szCs w:val="20"/>
              </w:rPr>
              <w:t>$73,854</w:t>
            </w:r>
          </w:p>
        </w:tc>
        <w:tc>
          <w:tcPr>
            <w:tcW w:w="1872" w:type="dxa"/>
            <w:tcBorders>
              <w:top w:val="single" w:sz="4" w:space="0" w:color="000000"/>
              <w:left w:val="single" w:sz="4" w:space="0" w:color="000000"/>
              <w:bottom w:val="single" w:sz="4" w:space="0" w:color="000000"/>
              <w:right w:val="single" w:sz="4" w:space="0" w:color="000000"/>
            </w:tcBorders>
          </w:tcPr>
          <w:p w14:paraId="3D609DFD" w14:textId="77777777" w:rsidR="00C44AF5" w:rsidRDefault="00F25B3F">
            <w:pPr>
              <w:jc w:val="right"/>
            </w:pPr>
            <w:r>
              <w:rPr>
                <w:sz w:val="20"/>
                <w:szCs w:val="20"/>
              </w:rPr>
              <w:t>0.8%</w:t>
            </w:r>
          </w:p>
        </w:tc>
      </w:tr>
      <w:tr w:rsidR="00C44AF5" w14:paraId="6D5CB636" w14:textId="77777777">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29C73C29" w14:textId="77777777" w:rsidR="00C44AF5" w:rsidRDefault="00F25B3F">
            <w:r>
              <w:rPr>
                <w:sz w:val="20"/>
                <w:szCs w:val="20"/>
              </w:rPr>
              <w:t>Legal Fees</w:t>
            </w:r>
          </w:p>
        </w:tc>
        <w:tc>
          <w:tcPr>
            <w:tcW w:w="2808" w:type="dxa"/>
            <w:tcBorders>
              <w:top w:val="single" w:sz="4" w:space="0" w:color="000000"/>
              <w:left w:val="single" w:sz="4" w:space="0" w:color="000000"/>
              <w:bottom w:val="single" w:sz="4" w:space="0" w:color="000000"/>
              <w:right w:val="single" w:sz="4" w:space="0" w:color="000000"/>
            </w:tcBorders>
            <w:shd w:val="clear" w:color="auto" w:fill="F2F2F2"/>
          </w:tcPr>
          <w:p w14:paraId="5B5BC410" w14:textId="77777777" w:rsidR="00C44AF5" w:rsidRDefault="00F25B3F">
            <w:pPr>
              <w:jc w:val="right"/>
            </w:pPr>
            <w:r>
              <w:rPr>
                <w:sz w:val="20"/>
                <w:szCs w:val="20"/>
              </w:rPr>
              <w:t>$92,844</w:t>
            </w:r>
          </w:p>
        </w:tc>
        <w:tc>
          <w:tcPr>
            <w:tcW w:w="1872" w:type="dxa"/>
            <w:tcBorders>
              <w:top w:val="single" w:sz="4" w:space="0" w:color="000000"/>
              <w:left w:val="single" w:sz="4" w:space="0" w:color="000000"/>
              <w:bottom w:val="single" w:sz="4" w:space="0" w:color="000000"/>
              <w:right w:val="single" w:sz="4" w:space="0" w:color="000000"/>
            </w:tcBorders>
            <w:shd w:val="clear" w:color="auto" w:fill="F2F2F2"/>
          </w:tcPr>
          <w:p w14:paraId="6A7D8B7A" w14:textId="77777777" w:rsidR="00C44AF5" w:rsidRDefault="00F25B3F">
            <w:pPr>
              <w:jc w:val="right"/>
            </w:pPr>
            <w:r>
              <w:rPr>
                <w:sz w:val="20"/>
                <w:szCs w:val="20"/>
              </w:rPr>
              <w:t>1.0%</w:t>
            </w:r>
          </w:p>
        </w:tc>
      </w:tr>
      <w:tr w:rsidR="00C44AF5" w14:paraId="743E30BF" w14:textId="77777777">
        <w:tc>
          <w:tcPr>
            <w:tcW w:w="4680" w:type="dxa"/>
            <w:tcBorders>
              <w:top w:val="single" w:sz="4" w:space="0" w:color="000000"/>
              <w:left w:val="single" w:sz="4" w:space="0" w:color="000000"/>
              <w:bottom w:val="single" w:sz="4" w:space="0" w:color="000000"/>
              <w:right w:val="single" w:sz="4" w:space="0" w:color="000000"/>
            </w:tcBorders>
          </w:tcPr>
          <w:p w14:paraId="18C72F3B" w14:textId="77777777" w:rsidR="00C44AF5" w:rsidRDefault="00F25B3F">
            <w:r>
              <w:rPr>
                <w:sz w:val="20"/>
                <w:szCs w:val="20"/>
              </w:rPr>
              <w:t>Accounting Fees</w:t>
            </w:r>
          </w:p>
        </w:tc>
        <w:tc>
          <w:tcPr>
            <w:tcW w:w="2808" w:type="dxa"/>
            <w:tcBorders>
              <w:top w:val="single" w:sz="4" w:space="0" w:color="000000"/>
              <w:left w:val="single" w:sz="4" w:space="0" w:color="000000"/>
              <w:bottom w:val="single" w:sz="4" w:space="0" w:color="000000"/>
              <w:right w:val="single" w:sz="4" w:space="0" w:color="000000"/>
            </w:tcBorders>
          </w:tcPr>
          <w:p w14:paraId="2C6B966B" w14:textId="77777777" w:rsidR="00C44AF5" w:rsidRDefault="00F25B3F">
            <w:pPr>
              <w:jc w:val="right"/>
            </w:pPr>
            <w:r>
              <w:rPr>
                <w:sz w:val="20"/>
                <w:szCs w:val="20"/>
              </w:rPr>
              <w:t>$16,741</w:t>
            </w:r>
          </w:p>
        </w:tc>
        <w:tc>
          <w:tcPr>
            <w:tcW w:w="1872" w:type="dxa"/>
            <w:tcBorders>
              <w:top w:val="single" w:sz="4" w:space="0" w:color="000000"/>
              <w:left w:val="single" w:sz="4" w:space="0" w:color="000000"/>
              <w:bottom w:val="single" w:sz="4" w:space="0" w:color="000000"/>
              <w:right w:val="single" w:sz="4" w:space="0" w:color="000000"/>
            </w:tcBorders>
          </w:tcPr>
          <w:p w14:paraId="36765240" w14:textId="77777777" w:rsidR="00C44AF5" w:rsidRDefault="00F25B3F">
            <w:pPr>
              <w:jc w:val="right"/>
            </w:pPr>
            <w:r>
              <w:rPr>
                <w:sz w:val="20"/>
                <w:szCs w:val="20"/>
              </w:rPr>
              <w:t>0.2%</w:t>
            </w:r>
          </w:p>
        </w:tc>
      </w:tr>
      <w:tr w:rsidR="00C44AF5" w14:paraId="1494B48F" w14:textId="77777777">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10E104E1" w14:textId="77777777" w:rsidR="00C44AF5" w:rsidRDefault="00F25B3F">
            <w:r>
              <w:rPr>
                <w:sz w:val="20"/>
                <w:szCs w:val="20"/>
              </w:rPr>
              <w:t>Other Professional Fees</w:t>
            </w:r>
          </w:p>
        </w:tc>
        <w:tc>
          <w:tcPr>
            <w:tcW w:w="2808" w:type="dxa"/>
            <w:tcBorders>
              <w:top w:val="single" w:sz="4" w:space="0" w:color="000000"/>
              <w:left w:val="single" w:sz="4" w:space="0" w:color="000000"/>
              <w:bottom w:val="single" w:sz="4" w:space="0" w:color="000000"/>
              <w:right w:val="single" w:sz="4" w:space="0" w:color="000000"/>
            </w:tcBorders>
            <w:shd w:val="clear" w:color="auto" w:fill="F2F2F2"/>
          </w:tcPr>
          <w:p w14:paraId="2384D806" w14:textId="77777777" w:rsidR="00C44AF5" w:rsidRDefault="00F25B3F">
            <w:pPr>
              <w:jc w:val="right"/>
            </w:pPr>
            <w:r>
              <w:rPr>
                <w:sz w:val="20"/>
                <w:szCs w:val="20"/>
              </w:rPr>
              <w:t>$15,026</w:t>
            </w:r>
          </w:p>
        </w:tc>
        <w:tc>
          <w:tcPr>
            <w:tcW w:w="1872" w:type="dxa"/>
            <w:tcBorders>
              <w:top w:val="single" w:sz="4" w:space="0" w:color="000000"/>
              <w:left w:val="single" w:sz="4" w:space="0" w:color="000000"/>
              <w:bottom w:val="single" w:sz="4" w:space="0" w:color="000000"/>
              <w:right w:val="single" w:sz="4" w:space="0" w:color="000000"/>
            </w:tcBorders>
            <w:shd w:val="clear" w:color="auto" w:fill="F2F2F2"/>
          </w:tcPr>
          <w:p w14:paraId="3A601F11" w14:textId="77777777" w:rsidR="00C44AF5" w:rsidRDefault="00F25B3F">
            <w:pPr>
              <w:jc w:val="right"/>
            </w:pPr>
            <w:r>
              <w:rPr>
                <w:sz w:val="20"/>
                <w:szCs w:val="20"/>
              </w:rPr>
              <w:t>0.2%</w:t>
            </w:r>
          </w:p>
        </w:tc>
      </w:tr>
      <w:tr w:rsidR="00C44AF5" w14:paraId="3CF475CA" w14:textId="77777777">
        <w:tc>
          <w:tcPr>
            <w:tcW w:w="4680" w:type="dxa"/>
            <w:tcBorders>
              <w:top w:val="single" w:sz="4" w:space="0" w:color="000000"/>
              <w:left w:val="single" w:sz="4" w:space="0" w:color="000000"/>
              <w:bottom w:val="single" w:sz="4" w:space="0" w:color="000000"/>
              <w:right w:val="single" w:sz="4" w:space="0" w:color="000000"/>
            </w:tcBorders>
          </w:tcPr>
          <w:p w14:paraId="27DF7C36" w14:textId="77777777" w:rsidR="00C44AF5" w:rsidRDefault="00F25B3F">
            <w:r>
              <w:rPr>
                <w:sz w:val="20"/>
                <w:szCs w:val="20"/>
              </w:rPr>
              <w:t>Office Expenses</w:t>
            </w:r>
          </w:p>
        </w:tc>
        <w:tc>
          <w:tcPr>
            <w:tcW w:w="2808" w:type="dxa"/>
            <w:tcBorders>
              <w:top w:val="single" w:sz="4" w:space="0" w:color="000000"/>
              <w:left w:val="single" w:sz="4" w:space="0" w:color="000000"/>
              <w:bottom w:val="single" w:sz="4" w:space="0" w:color="000000"/>
              <w:right w:val="single" w:sz="4" w:space="0" w:color="000000"/>
            </w:tcBorders>
          </w:tcPr>
          <w:p w14:paraId="43ACE82D" w14:textId="77777777" w:rsidR="00C44AF5" w:rsidRDefault="00F25B3F">
            <w:pPr>
              <w:jc w:val="right"/>
            </w:pPr>
            <w:r>
              <w:rPr>
                <w:sz w:val="20"/>
                <w:szCs w:val="20"/>
              </w:rPr>
              <w:t>$108,716</w:t>
            </w:r>
          </w:p>
        </w:tc>
        <w:tc>
          <w:tcPr>
            <w:tcW w:w="1872" w:type="dxa"/>
            <w:tcBorders>
              <w:top w:val="single" w:sz="4" w:space="0" w:color="000000"/>
              <w:left w:val="single" w:sz="4" w:space="0" w:color="000000"/>
              <w:bottom w:val="single" w:sz="4" w:space="0" w:color="000000"/>
              <w:right w:val="single" w:sz="4" w:space="0" w:color="000000"/>
            </w:tcBorders>
          </w:tcPr>
          <w:p w14:paraId="5B53E7E7" w14:textId="77777777" w:rsidR="00C44AF5" w:rsidRDefault="00F25B3F">
            <w:pPr>
              <w:jc w:val="right"/>
            </w:pPr>
            <w:r>
              <w:rPr>
                <w:sz w:val="20"/>
                <w:szCs w:val="20"/>
              </w:rPr>
              <w:t>1.2%</w:t>
            </w:r>
          </w:p>
        </w:tc>
      </w:tr>
      <w:tr w:rsidR="00C44AF5" w14:paraId="346AACCF" w14:textId="77777777">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09579D4E" w14:textId="77777777" w:rsidR="00C44AF5" w:rsidRDefault="00F25B3F">
            <w:r>
              <w:rPr>
                <w:sz w:val="20"/>
                <w:szCs w:val="20"/>
              </w:rPr>
              <w:t>Conferences &amp; Meetings</w:t>
            </w:r>
          </w:p>
        </w:tc>
        <w:tc>
          <w:tcPr>
            <w:tcW w:w="2808" w:type="dxa"/>
            <w:tcBorders>
              <w:top w:val="single" w:sz="4" w:space="0" w:color="000000"/>
              <w:left w:val="single" w:sz="4" w:space="0" w:color="000000"/>
              <w:bottom w:val="single" w:sz="4" w:space="0" w:color="000000"/>
              <w:right w:val="single" w:sz="4" w:space="0" w:color="000000"/>
            </w:tcBorders>
            <w:shd w:val="clear" w:color="auto" w:fill="F2F2F2"/>
          </w:tcPr>
          <w:p w14:paraId="013A616D" w14:textId="77777777" w:rsidR="00C44AF5" w:rsidRDefault="00F25B3F">
            <w:pPr>
              <w:jc w:val="right"/>
            </w:pPr>
            <w:r>
              <w:rPr>
                <w:sz w:val="20"/>
                <w:szCs w:val="20"/>
              </w:rPr>
              <w:t>$30,290</w:t>
            </w:r>
          </w:p>
        </w:tc>
        <w:tc>
          <w:tcPr>
            <w:tcW w:w="1872" w:type="dxa"/>
            <w:tcBorders>
              <w:top w:val="single" w:sz="4" w:space="0" w:color="000000"/>
              <w:left w:val="single" w:sz="4" w:space="0" w:color="000000"/>
              <w:bottom w:val="single" w:sz="4" w:space="0" w:color="000000"/>
              <w:right w:val="single" w:sz="4" w:space="0" w:color="000000"/>
            </w:tcBorders>
            <w:shd w:val="clear" w:color="auto" w:fill="F2F2F2"/>
          </w:tcPr>
          <w:p w14:paraId="37B84CE5" w14:textId="77777777" w:rsidR="00C44AF5" w:rsidRDefault="00F25B3F">
            <w:pPr>
              <w:jc w:val="right"/>
            </w:pPr>
            <w:r>
              <w:rPr>
                <w:sz w:val="20"/>
                <w:szCs w:val="20"/>
              </w:rPr>
              <w:t>0.3%</w:t>
            </w:r>
          </w:p>
        </w:tc>
      </w:tr>
      <w:tr w:rsidR="00C44AF5" w14:paraId="6F4A801A" w14:textId="77777777">
        <w:tc>
          <w:tcPr>
            <w:tcW w:w="4680" w:type="dxa"/>
            <w:tcBorders>
              <w:top w:val="single" w:sz="4" w:space="0" w:color="000000"/>
              <w:left w:val="single" w:sz="4" w:space="0" w:color="000000"/>
              <w:bottom w:val="single" w:sz="4" w:space="0" w:color="000000"/>
              <w:right w:val="single" w:sz="4" w:space="0" w:color="000000"/>
            </w:tcBorders>
          </w:tcPr>
          <w:p w14:paraId="7B74484E" w14:textId="77777777" w:rsidR="00C44AF5" w:rsidRDefault="00F25B3F">
            <w:r>
              <w:rPr>
                <w:sz w:val="20"/>
                <w:szCs w:val="20"/>
              </w:rPr>
              <w:t>Interest</w:t>
            </w:r>
          </w:p>
        </w:tc>
        <w:tc>
          <w:tcPr>
            <w:tcW w:w="2808" w:type="dxa"/>
            <w:tcBorders>
              <w:top w:val="single" w:sz="4" w:space="0" w:color="000000"/>
              <w:left w:val="single" w:sz="4" w:space="0" w:color="000000"/>
              <w:bottom w:val="single" w:sz="4" w:space="0" w:color="000000"/>
              <w:right w:val="single" w:sz="4" w:space="0" w:color="000000"/>
            </w:tcBorders>
          </w:tcPr>
          <w:p w14:paraId="3706C0A3" w14:textId="77777777" w:rsidR="00C44AF5" w:rsidRDefault="00F25B3F">
            <w:pPr>
              <w:jc w:val="right"/>
            </w:pPr>
            <w:r>
              <w:rPr>
                <w:sz w:val="20"/>
                <w:szCs w:val="20"/>
              </w:rPr>
              <w:t>$452,951</w:t>
            </w:r>
          </w:p>
        </w:tc>
        <w:tc>
          <w:tcPr>
            <w:tcW w:w="1872" w:type="dxa"/>
            <w:tcBorders>
              <w:top w:val="single" w:sz="4" w:space="0" w:color="000000"/>
              <w:left w:val="single" w:sz="4" w:space="0" w:color="000000"/>
              <w:bottom w:val="single" w:sz="4" w:space="0" w:color="000000"/>
              <w:right w:val="single" w:sz="4" w:space="0" w:color="000000"/>
            </w:tcBorders>
          </w:tcPr>
          <w:p w14:paraId="19190110" w14:textId="77777777" w:rsidR="00C44AF5" w:rsidRDefault="00F25B3F">
            <w:pPr>
              <w:jc w:val="right"/>
            </w:pPr>
            <w:r>
              <w:rPr>
                <w:sz w:val="20"/>
                <w:szCs w:val="20"/>
              </w:rPr>
              <w:t>5.0%</w:t>
            </w:r>
          </w:p>
        </w:tc>
      </w:tr>
      <w:tr w:rsidR="00C44AF5" w14:paraId="228B4658" w14:textId="77777777">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1821559E" w14:textId="77777777" w:rsidR="00C44AF5" w:rsidRDefault="00F25B3F">
            <w:r>
              <w:rPr>
                <w:sz w:val="20"/>
                <w:szCs w:val="20"/>
              </w:rPr>
              <w:t>Depreciation &amp; Depletion</w:t>
            </w:r>
          </w:p>
        </w:tc>
        <w:tc>
          <w:tcPr>
            <w:tcW w:w="2808" w:type="dxa"/>
            <w:tcBorders>
              <w:top w:val="single" w:sz="4" w:space="0" w:color="000000"/>
              <w:left w:val="single" w:sz="4" w:space="0" w:color="000000"/>
              <w:bottom w:val="single" w:sz="4" w:space="0" w:color="000000"/>
              <w:right w:val="single" w:sz="4" w:space="0" w:color="000000"/>
            </w:tcBorders>
            <w:shd w:val="clear" w:color="auto" w:fill="F2F2F2"/>
          </w:tcPr>
          <w:p w14:paraId="51DE3EBA" w14:textId="77777777" w:rsidR="00C44AF5" w:rsidRDefault="00F25B3F">
            <w:pPr>
              <w:jc w:val="right"/>
            </w:pPr>
            <w:r>
              <w:rPr>
                <w:sz w:val="20"/>
                <w:szCs w:val="20"/>
              </w:rPr>
              <w:t>$195,816</w:t>
            </w:r>
          </w:p>
        </w:tc>
        <w:tc>
          <w:tcPr>
            <w:tcW w:w="1872" w:type="dxa"/>
            <w:tcBorders>
              <w:top w:val="single" w:sz="4" w:space="0" w:color="000000"/>
              <w:left w:val="single" w:sz="4" w:space="0" w:color="000000"/>
              <w:bottom w:val="single" w:sz="4" w:space="0" w:color="000000"/>
              <w:right w:val="single" w:sz="4" w:space="0" w:color="000000"/>
            </w:tcBorders>
            <w:shd w:val="clear" w:color="auto" w:fill="F2F2F2"/>
          </w:tcPr>
          <w:p w14:paraId="5619457A" w14:textId="77777777" w:rsidR="00C44AF5" w:rsidRDefault="00F25B3F">
            <w:pPr>
              <w:jc w:val="right"/>
            </w:pPr>
            <w:r>
              <w:rPr>
                <w:sz w:val="20"/>
                <w:szCs w:val="20"/>
              </w:rPr>
              <w:t>2.2%</w:t>
            </w:r>
          </w:p>
        </w:tc>
      </w:tr>
      <w:tr w:rsidR="00C44AF5" w14:paraId="4805F0A2" w14:textId="77777777">
        <w:tc>
          <w:tcPr>
            <w:tcW w:w="4680" w:type="dxa"/>
            <w:tcBorders>
              <w:top w:val="single" w:sz="4" w:space="0" w:color="000000"/>
              <w:left w:val="single" w:sz="4" w:space="0" w:color="000000"/>
              <w:bottom w:val="single" w:sz="4" w:space="0" w:color="000000"/>
              <w:right w:val="single" w:sz="4" w:space="0" w:color="000000"/>
            </w:tcBorders>
          </w:tcPr>
          <w:p w14:paraId="54165C75" w14:textId="77777777" w:rsidR="00C44AF5" w:rsidRDefault="00F25B3F">
            <w:r>
              <w:rPr>
                <w:sz w:val="20"/>
                <w:szCs w:val="20"/>
              </w:rPr>
              <w:t>Insurance</w:t>
            </w:r>
          </w:p>
        </w:tc>
        <w:tc>
          <w:tcPr>
            <w:tcW w:w="2808" w:type="dxa"/>
            <w:tcBorders>
              <w:top w:val="single" w:sz="4" w:space="0" w:color="000000"/>
              <w:left w:val="single" w:sz="4" w:space="0" w:color="000000"/>
              <w:bottom w:val="single" w:sz="4" w:space="0" w:color="000000"/>
              <w:right w:val="single" w:sz="4" w:space="0" w:color="000000"/>
            </w:tcBorders>
          </w:tcPr>
          <w:p w14:paraId="78E5E112" w14:textId="77777777" w:rsidR="00C44AF5" w:rsidRDefault="00F25B3F">
            <w:pPr>
              <w:jc w:val="right"/>
            </w:pPr>
            <w:r>
              <w:rPr>
                <w:sz w:val="20"/>
                <w:szCs w:val="20"/>
              </w:rPr>
              <w:t>$93,816</w:t>
            </w:r>
          </w:p>
        </w:tc>
        <w:tc>
          <w:tcPr>
            <w:tcW w:w="1872" w:type="dxa"/>
            <w:tcBorders>
              <w:top w:val="single" w:sz="4" w:space="0" w:color="000000"/>
              <w:left w:val="single" w:sz="4" w:space="0" w:color="000000"/>
              <w:bottom w:val="single" w:sz="4" w:space="0" w:color="000000"/>
              <w:right w:val="single" w:sz="4" w:space="0" w:color="000000"/>
            </w:tcBorders>
          </w:tcPr>
          <w:p w14:paraId="25F87750" w14:textId="77777777" w:rsidR="00C44AF5" w:rsidRDefault="00F25B3F">
            <w:pPr>
              <w:jc w:val="right"/>
            </w:pPr>
            <w:r>
              <w:rPr>
                <w:sz w:val="20"/>
                <w:szCs w:val="20"/>
              </w:rPr>
              <w:t>1.0%</w:t>
            </w:r>
          </w:p>
        </w:tc>
      </w:tr>
      <w:tr w:rsidR="00C44AF5" w14:paraId="37E75574" w14:textId="77777777">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26ED5603" w14:textId="77777777" w:rsidR="00C44AF5" w:rsidRDefault="00F25B3F">
            <w:r>
              <w:rPr>
                <w:sz w:val="20"/>
                <w:szCs w:val="20"/>
              </w:rPr>
              <w:t>Staff Expenses</w:t>
            </w:r>
          </w:p>
        </w:tc>
        <w:tc>
          <w:tcPr>
            <w:tcW w:w="2808" w:type="dxa"/>
            <w:tcBorders>
              <w:top w:val="single" w:sz="4" w:space="0" w:color="000000"/>
              <w:left w:val="single" w:sz="4" w:space="0" w:color="000000"/>
              <w:bottom w:val="single" w:sz="4" w:space="0" w:color="000000"/>
              <w:right w:val="single" w:sz="4" w:space="0" w:color="000000"/>
            </w:tcBorders>
            <w:shd w:val="clear" w:color="auto" w:fill="F2F2F2"/>
          </w:tcPr>
          <w:p w14:paraId="7A097ECA" w14:textId="77777777" w:rsidR="00C44AF5" w:rsidRDefault="00F25B3F">
            <w:pPr>
              <w:jc w:val="right"/>
            </w:pPr>
            <w:r>
              <w:rPr>
                <w:sz w:val="20"/>
                <w:szCs w:val="20"/>
              </w:rPr>
              <w:t>$74,993</w:t>
            </w:r>
          </w:p>
        </w:tc>
        <w:tc>
          <w:tcPr>
            <w:tcW w:w="1872" w:type="dxa"/>
            <w:tcBorders>
              <w:top w:val="single" w:sz="4" w:space="0" w:color="000000"/>
              <w:left w:val="single" w:sz="4" w:space="0" w:color="000000"/>
              <w:bottom w:val="single" w:sz="4" w:space="0" w:color="000000"/>
              <w:right w:val="single" w:sz="4" w:space="0" w:color="000000"/>
            </w:tcBorders>
            <w:shd w:val="clear" w:color="auto" w:fill="F2F2F2"/>
          </w:tcPr>
          <w:p w14:paraId="5951F315" w14:textId="77777777" w:rsidR="00C44AF5" w:rsidRDefault="00F25B3F">
            <w:pPr>
              <w:jc w:val="right"/>
            </w:pPr>
            <w:r>
              <w:rPr>
                <w:sz w:val="20"/>
                <w:szCs w:val="20"/>
              </w:rPr>
              <w:t>0.8%</w:t>
            </w:r>
          </w:p>
        </w:tc>
      </w:tr>
      <w:tr w:rsidR="00C44AF5" w14:paraId="4A276077" w14:textId="77777777">
        <w:tc>
          <w:tcPr>
            <w:tcW w:w="4680" w:type="dxa"/>
            <w:tcBorders>
              <w:top w:val="single" w:sz="4" w:space="0" w:color="000000"/>
              <w:left w:val="single" w:sz="4" w:space="0" w:color="000000"/>
              <w:bottom w:val="single" w:sz="4" w:space="0" w:color="000000"/>
              <w:right w:val="single" w:sz="4" w:space="0" w:color="000000"/>
            </w:tcBorders>
          </w:tcPr>
          <w:p w14:paraId="40C62167" w14:textId="77777777" w:rsidR="00C44AF5" w:rsidRDefault="00F25B3F">
            <w:r>
              <w:rPr>
                <w:sz w:val="20"/>
                <w:szCs w:val="20"/>
              </w:rPr>
              <w:t>Equipment Rental</w:t>
            </w:r>
          </w:p>
        </w:tc>
        <w:tc>
          <w:tcPr>
            <w:tcW w:w="2808" w:type="dxa"/>
            <w:tcBorders>
              <w:top w:val="single" w:sz="4" w:space="0" w:color="000000"/>
              <w:left w:val="single" w:sz="4" w:space="0" w:color="000000"/>
              <w:bottom w:val="single" w:sz="4" w:space="0" w:color="000000"/>
              <w:right w:val="single" w:sz="4" w:space="0" w:color="000000"/>
            </w:tcBorders>
          </w:tcPr>
          <w:p w14:paraId="0BFC333B" w14:textId="77777777" w:rsidR="00C44AF5" w:rsidRDefault="00F25B3F">
            <w:pPr>
              <w:jc w:val="right"/>
            </w:pPr>
            <w:r>
              <w:rPr>
                <w:sz w:val="20"/>
                <w:szCs w:val="20"/>
              </w:rPr>
              <w:t>$49,913</w:t>
            </w:r>
          </w:p>
        </w:tc>
        <w:tc>
          <w:tcPr>
            <w:tcW w:w="1872" w:type="dxa"/>
            <w:tcBorders>
              <w:top w:val="single" w:sz="4" w:space="0" w:color="000000"/>
              <w:left w:val="single" w:sz="4" w:space="0" w:color="000000"/>
              <w:bottom w:val="single" w:sz="4" w:space="0" w:color="000000"/>
              <w:right w:val="single" w:sz="4" w:space="0" w:color="000000"/>
            </w:tcBorders>
          </w:tcPr>
          <w:p w14:paraId="6546047F" w14:textId="77777777" w:rsidR="00C44AF5" w:rsidRDefault="00F25B3F">
            <w:pPr>
              <w:jc w:val="right"/>
            </w:pPr>
            <w:r>
              <w:rPr>
                <w:sz w:val="20"/>
                <w:szCs w:val="20"/>
              </w:rPr>
              <w:t>0.6%</w:t>
            </w:r>
          </w:p>
        </w:tc>
      </w:tr>
      <w:tr w:rsidR="00C44AF5" w14:paraId="4A3EDD75" w14:textId="77777777">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63AC9762" w14:textId="77777777" w:rsidR="00C44AF5" w:rsidRDefault="00F25B3F">
            <w:r>
              <w:rPr>
                <w:sz w:val="20"/>
                <w:szCs w:val="20"/>
              </w:rPr>
              <w:t>Public Relations</w:t>
            </w:r>
          </w:p>
        </w:tc>
        <w:tc>
          <w:tcPr>
            <w:tcW w:w="2808" w:type="dxa"/>
            <w:tcBorders>
              <w:top w:val="single" w:sz="4" w:space="0" w:color="000000"/>
              <w:left w:val="single" w:sz="4" w:space="0" w:color="000000"/>
              <w:bottom w:val="single" w:sz="4" w:space="0" w:color="000000"/>
              <w:right w:val="single" w:sz="4" w:space="0" w:color="000000"/>
            </w:tcBorders>
            <w:shd w:val="clear" w:color="auto" w:fill="F2F2F2"/>
          </w:tcPr>
          <w:p w14:paraId="6F3888DA" w14:textId="77777777" w:rsidR="00C44AF5" w:rsidRDefault="00F25B3F">
            <w:pPr>
              <w:jc w:val="right"/>
            </w:pPr>
            <w:r>
              <w:rPr>
                <w:sz w:val="20"/>
                <w:szCs w:val="20"/>
              </w:rPr>
              <w:t>$68,907</w:t>
            </w:r>
          </w:p>
        </w:tc>
        <w:tc>
          <w:tcPr>
            <w:tcW w:w="1872" w:type="dxa"/>
            <w:tcBorders>
              <w:top w:val="single" w:sz="4" w:space="0" w:color="000000"/>
              <w:left w:val="single" w:sz="4" w:space="0" w:color="000000"/>
              <w:bottom w:val="single" w:sz="4" w:space="0" w:color="000000"/>
              <w:right w:val="single" w:sz="4" w:space="0" w:color="000000"/>
            </w:tcBorders>
            <w:shd w:val="clear" w:color="auto" w:fill="F2F2F2"/>
          </w:tcPr>
          <w:p w14:paraId="66E715DE" w14:textId="77777777" w:rsidR="00C44AF5" w:rsidRDefault="00F25B3F">
            <w:pPr>
              <w:jc w:val="right"/>
            </w:pPr>
            <w:r>
              <w:rPr>
                <w:sz w:val="20"/>
                <w:szCs w:val="20"/>
              </w:rPr>
              <w:t>0.8%</w:t>
            </w:r>
          </w:p>
        </w:tc>
      </w:tr>
      <w:tr w:rsidR="00C44AF5" w14:paraId="3E0A7259" w14:textId="77777777">
        <w:tc>
          <w:tcPr>
            <w:tcW w:w="4680" w:type="dxa"/>
            <w:tcBorders>
              <w:top w:val="single" w:sz="4" w:space="0" w:color="000000"/>
              <w:left w:val="single" w:sz="4" w:space="0" w:color="000000"/>
              <w:bottom w:val="single" w:sz="4" w:space="0" w:color="000000"/>
              <w:right w:val="single" w:sz="4" w:space="0" w:color="000000"/>
            </w:tcBorders>
          </w:tcPr>
          <w:p w14:paraId="68C2BC59" w14:textId="77777777" w:rsidR="00C44AF5" w:rsidRDefault="00F25B3F">
            <w:r>
              <w:rPr>
                <w:sz w:val="20"/>
                <w:szCs w:val="20"/>
              </w:rPr>
              <w:t>Postage</w:t>
            </w:r>
          </w:p>
        </w:tc>
        <w:tc>
          <w:tcPr>
            <w:tcW w:w="2808" w:type="dxa"/>
            <w:tcBorders>
              <w:top w:val="single" w:sz="4" w:space="0" w:color="000000"/>
              <w:left w:val="single" w:sz="4" w:space="0" w:color="000000"/>
              <w:bottom w:val="single" w:sz="4" w:space="0" w:color="000000"/>
              <w:right w:val="single" w:sz="4" w:space="0" w:color="000000"/>
            </w:tcBorders>
          </w:tcPr>
          <w:p w14:paraId="11C0A349" w14:textId="77777777" w:rsidR="00C44AF5" w:rsidRDefault="00F25B3F">
            <w:pPr>
              <w:jc w:val="right"/>
            </w:pPr>
            <w:r>
              <w:rPr>
                <w:sz w:val="20"/>
                <w:szCs w:val="20"/>
              </w:rPr>
              <w:t>$26,786</w:t>
            </w:r>
          </w:p>
        </w:tc>
        <w:tc>
          <w:tcPr>
            <w:tcW w:w="1872" w:type="dxa"/>
            <w:tcBorders>
              <w:top w:val="single" w:sz="4" w:space="0" w:color="000000"/>
              <w:left w:val="single" w:sz="4" w:space="0" w:color="000000"/>
              <w:bottom w:val="single" w:sz="4" w:space="0" w:color="000000"/>
              <w:right w:val="single" w:sz="4" w:space="0" w:color="000000"/>
            </w:tcBorders>
          </w:tcPr>
          <w:p w14:paraId="2644F226" w14:textId="77777777" w:rsidR="00C44AF5" w:rsidRDefault="00F25B3F">
            <w:pPr>
              <w:jc w:val="right"/>
            </w:pPr>
            <w:r>
              <w:rPr>
                <w:sz w:val="20"/>
                <w:szCs w:val="20"/>
              </w:rPr>
              <w:t>0.3%</w:t>
            </w:r>
          </w:p>
        </w:tc>
      </w:tr>
      <w:tr w:rsidR="00C44AF5" w14:paraId="57AEB92B" w14:textId="77777777">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31D1924E" w14:textId="77777777" w:rsidR="00C44AF5" w:rsidRDefault="00F25B3F">
            <w:r>
              <w:rPr>
                <w:sz w:val="20"/>
                <w:szCs w:val="20"/>
              </w:rPr>
              <w:t>All Other Expenses</w:t>
            </w:r>
          </w:p>
        </w:tc>
        <w:tc>
          <w:tcPr>
            <w:tcW w:w="2808" w:type="dxa"/>
            <w:tcBorders>
              <w:top w:val="single" w:sz="4" w:space="0" w:color="000000"/>
              <w:left w:val="single" w:sz="4" w:space="0" w:color="000000"/>
              <w:bottom w:val="single" w:sz="4" w:space="0" w:color="000000"/>
              <w:right w:val="single" w:sz="4" w:space="0" w:color="000000"/>
            </w:tcBorders>
            <w:shd w:val="clear" w:color="auto" w:fill="F2F2F2"/>
          </w:tcPr>
          <w:p w14:paraId="4FE6893C" w14:textId="77777777" w:rsidR="00C44AF5" w:rsidRDefault="00F25B3F">
            <w:pPr>
              <w:jc w:val="right"/>
            </w:pPr>
            <w:r>
              <w:rPr>
                <w:sz w:val="20"/>
                <w:szCs w:val="20"/>
              </w:rPr>
              <w:t>$684,449</w:t>
            </w:r>
          </w:p>
        </w:tc>
        <w:tc>
          <w:tcPr>
            <w:tcW w:w="1872" w:type="dxa"/>
            <w:tcBorders>
              <w:top w:val="single" w:sz="4" w:space="0" w:color="000000"/>
              <w:left w:val="single" w:sz="4" w:space="0" w:color="000000"/>
              <w:bottom w:val="single" w:sz="4" w:space="0" w:color="000000"/>
              <w:right w:val="single" w:sz="4" w:space="0" w:color="000000"/>
            </w:tcBorders>
            <w:shd w:val="clear" w:color="auto" w:fill="F2F2F2"/>
          </w:tcPr>
          <w:p w14:paraId="5A2BA6E6" w14:textId="77777777" w:rsidR="00C44AF5" w:rsidRDefault="00F25B3F">
            <w:pPr>
              <w:jc w:val="right"/>
            </w:pPr>
            <w:r>
              <w:rPr>
                <w:sz w:val="20"/>
                <w:szCs w:val="20"/>
              </w:rPr>
              <w:t>7.5%</w:t>
            </w:r>
          </w:p>
        </w:tc>
      </w:tr>
    </w:tbl>
    <w:p w14:paraId="0C239954" w14:textId="77777777" w:rsidR="00C44AF5" w:rsidRDefault="00F25B3F">
      <w:pPr>
        <w:spacing w:before="300" w:after="160"/>
      </w:pPr>
      <w:r>
        <w:rPr>
          <w:b/>
          <w:bCs/>
          <w:color w:val="1F3864"/>
        </w:rPr>
        <w:t>What Do These Categories Mean?</w:t>
      </w:r>
    </w:p>
    <w:tbl>
      <w:tblPr>
        <w:tblW w:w="9360" w:type="dxa"/>
        <w:tblLayout w:type="fixed"/>
        <w:tblCellMar>
          <w:top w:w="80" w:type="dxa"/>
          <w:left w:w="120" w:type="dxa"/>
          <w:bottom w:w="80" w:type="dxa"/>
          <w:right w:w="120" w:type="dxa"/>
        </w:tblCellMar>
        <w:tblLook w:val="0000" w:firstRow="0" w:lastRow="0" w:firstColumn="0" w:lastColumn="0" w:noHBand="0" w:noVBand="0"/>
      </w:tblPr>
      <w:tblGrid>
        <w:gridCol w:w="9360"/>
      </w:tblGrid>
      <w:tr w:rsidR="00C44AF5" w14:paraId="2B03C93D" w14:textId="77777777" w:rsidTr="278CE097">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DDE3E" w14:textId="77777777" w:rsidR="00C44AF5" w:rsidRDefault="00F25B3F">
            <w:r>
              <w:rPr>
                <w:b/>
                <w:bCs/>
                <w:sz w:val="20"/>
                <w:szCs w:val="20"/>
              </w:rPr>
              <w:t xml:space="preserve">Payments to Affiliates: </w:t>
            </w:r>
            <w:r>
              <w:rPr>
                <w:sz w:val="20"/>
                <w:szCs w:val="20"/>
              </w:rPr>
              <w:t>Per-capita dues and other payments passed to parent unions (AFT, AFL-CIO) and related entities. These remove local control of dues money and are not directly accountable to PFT members.</w:t>
            </w:r>
          </w:p>
        </w:tc>
      </w:tr>
      <w:tr w:rsidR="00C44AF5" w14:paraId="3E77E489" w14:textId="77777777" w:rsidTr="278CE097">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B4C0566" w14:textId="77777777" w:rsidR="00C44AF5" w:rsidRDefault="00F25B3F">
            <w:r>
              <w:rPr>
                <w:b/>
                <w:bCs/>
                <w:sz w:val="20"/>
                <w:szCs w:val="20"/>
              </w:rPr>
              <w:t xml:space="preserve">Officer &amp; Director Compensation: </w:t>
            </w:r>
            <w:r>
              <w:rPr>
                <w:sz w:val="20"/>
                <w:szCs w:val="20"/>
              </w:rPr>
              <w:t>Salaries for union president, vice presidents, treasurer, secretary, and board members. These are elected leadership positions.</w:t>
            </w:r>
          </w:p>
        </w:tc>
      </w:tr>
      <w:tr w:rsidR="00C44AF5" w14:paraId="138B5117" w14:textId="77777777" w:rsidTr="278CE097">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72461" w14:textId="77777777" w:rsidR="00C44AF5" w:rsidRDefault="00F25B3F">
            <w:r>
              <w:rPr>
                <w:b/>
                <w:bCs/>
                <w:sz w:val="20"/>
                <w:szCs w:val="20"/>
              </w:rPr>
              <w:t xml:space="preserve">Other Salaries &amp; Wages: </w:t>
            </w:r>
            <w:r>
              <w:rPr>
                <w:sz w:val="20"/>
                <w:szCs w:val="20"/>
              </w:rPr>
              <w:t>Compensation for staff employees (organizers, negotiators, administrative staff) not in officer roles.</w:t>
            </w:r>
          </w:p>
        </w:tc>
      </w:tr>
      <w:tr w:rsidR="00C44AF5" w14:paraId="7BB71902" w14:textId="77777777" w:rsidTr="278CE097">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2B2AD81" w14:textId="77777777" w:rsidR="00C44AF5" w:rsidRDefault="00F25B3F">
            <w:r>
              <w:rPr>
                <w:b/>
                <w:bCs/>
                <w:sz w:val="20"/>
                <w:szCs w:val="20"/>
              </w:rPr>
              <w:lastRenderedPageBreak/>
              <w:t xml:space="preserve">Employee Benefits: </w:t>
            </w:r>
            <w:r>
              <w:rPr>
                <w:sz w:val="20"/>
                <w:szCs w:val="20"/>
              </w:rPr>
              <w:t>Health insurance, retirement contributions, and other fringe benefits for union staff. PFT spent $930,518 on this line item in FY2024.</w:t>
            </w:r>
            <w:r>
              <w:rPr>
                <w:rStyle w:val="EndnoteReference"/>
              </w:rPr>
              <w:endnoteReference w:id="11"/>
            </w:r>
          </w:p>
        </w:tc>
      </w:tr>
      <w:tr w:rsidR="00C44AF5" w14:paraId="5E0F0A05" w14:textId="77777777" w:rsidTr="278CE097">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75830" w14:textId="2CE22DBE" w:rsidR="00C44AF5" w:rsidRDefault="00F25B3F">
            <w:r>
              <w:rPr>
                <w:b/>
                <w:bCs/>
                <w:sz w:val="20"/>
                <w:szCs w:val="20"/>
              </w:rPr>
              <w:t xml:space="preserve">Interest Expense: </w:t>
            </w:r>
            <w:r>
              <w:t>Interest payments on liabilities owed to parent unions, primarily on the $14.1 million in Grants Payable. This money is permanent overhead that never supports member services.</w:t>
            </w:r>
            <w:r>
              <w:rPr>
                <w:rStyle w:val="EndnoteReference"/>
              </w:rPr>
              <w:endnoteReference w:id="12"/>
            </w:r>
          </w:p>
        </w:tc>
      </w:tr>
      <w:tr w:rsidR="00C44AF5" w14:paraId="5EC3C4C7" w14:textId="77777777" w:rsidTr="278CE097">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20040D4" w14:textId="77777777" w:rsidR="00C44AF5" w:rsidRDefault="00F25B3F">
            <w:r>
              <w:rPr>
                <w:b/>
                <w:bCs/>
                <w:sz w:val="20"/>
                <w:szCs w:val="20"/>
              </w:rPr>
              <w:t xml:space="preserve">Office Expenses: </w:t>
            </w:r>
            <w:r>
              <w:rPr>
                <w:sz w:val="20"/>
                <w:szCs w:val="20"/>
              </w:rPr>
              <w:t>Supplies, printing, telephone, and other administrative office costs incurred at PFT headquarters at 1816 Chestnut Street, Philadelphia.</w:t>
            </w:r>
          </w:p>
        </w:tc>
      </w:tr>
      <w:tr w:rsidR="00C44AF5" w14:paraId="7DD35ADF" w14:textId="77777777" w:rsidTr="278CE097">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0F63E" w14:textId="77777777" w:rsidR="00C44AF5" w:rsidRDefault="00F25B3F">
            <w:r>
              <w:rPr>
                <w:b/>
                <w:bCs/>
                <w:sz w:val="20"/>
                <w:szCs w:val="20"/>
              </w:rPr>
              <w:t xml:space="preserve">Legal Fees: </w:t>
            </w:r>
            <w:r>
              <w:rPr>
                <w:sz w:val="20"/>
                <w:szCs w:val="20"/>
              </w:rPr>
              <w:t>Payments to outside law firms for legal representation, contract review, and arbitration services. Distinct from in-house staff costs.</w:t>
            </w:r>
          </w:p>
        </w:tc>
      </w:tr>
      <w:tr w:rsidR="00C44AF5" w14:paraId="59939496" w14:textId="77777777" w:rsidTr="278CE097">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0521F9D" w14:textId="77777777" w:rsidR="00C44AF5" w:rsidRDefault="00F25B3F">
            <w:r>
              <w:rPr>
                <w:b/>
                <w:bCs/>
                <w:sz w:val="20"/>
                <w:szCs w:val="20"/>
              </w:rPr>
              <w:t xml:space="preserve">Depreciation: </w:t>
            </w:r>
            <w:r>
              <w:t>Non-cash accounting charge reflecting the declining value of PFT's buildings and equipment over time. Primarily driven by the union’s $7.8 million headquarters building (original cost; net book value of all land, buildings, and equipment after depreciation is $7.2 million).</w:t>
            </w:r>
            <w:r>
              <w:rPr>
                <w:rStyle w:val="EndnoteReference"/>
              </w:rPr>
              <w:endnoteReference w:id="13"/>
            </w:r>
          </w:p>
        </w:tc>
      </w:tr>
      <w:tr w:rsidR="00C44AF5" w14:paraId="6EC0360D" w14:textId="77777777" w:rsidTr="278CE097">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8346F" w14:textId="77777777" w:rsidR="00C44AF5" w:rsidRDefault="00F25B3F">
            <w:r>
              <w:rPr>
                <w:b/>
                <w:bCs/>
                <w:sz w:val="20"/>
                <w:szCs w:val="20"/>
              </w:rPr>
              <w:t xml:space="preserve">All Other Expenses: </w:t>
            </w:r>
            <w:r>
              <w:rPr>
                <w:sz w:val="20"/>
                <w:szCs w:val="20"/>
              </w:rPr>
              <w:t>Remaining expenses not individually categorized on the 990, totaling $684,449. The spending table above breaks out the major additional categories individually: insurance ($93,816), public relations ($68,907), staff expenses ($74,993), equipment rental ($49,913), conferences and meetings ($30,290), postage ($26,786), accounting fees ($16,741), other professional fees ($15,026), and payroll taxes ($73,854).</w:t>
            </w:r>
            <w:r>
              <w:rPr>
                <w:rStyle w:val="EndnoteReference"/>
              </w:rPr>
              <w:endnoteReference w:id="14"/>
            </w:r>
          </w:p>
        </w:tc>
      </w:tr>
    </w:tbl>
    <w:p w14:paraId="5EE6859C" w14:textId="77777777" w:rsidR="00C44AF5" w:rsidRDefault="00F25B3F">
      <w:pPr>
        <w:spacing w:before="360" w:after="200"/>
      </w:pPr>
      <w:r>
        <w:rPr>
          <w:b/>
          <w:bCs/>
          <w:color w:val="8B0000"/>
          <w:sz w:val="26"/>
          <w:szCs w:val="26"/>
        </w:rPr>
        <w:t>PAC POLITICAL SPENDING</w:t>
      </w:r>
    </w:p>
    <w:p w14:paraId="4CA0994C" w14:textId="6253E985" w:rsidR="00C44AF5" w:rsidRDefault="00F25B3F">
      <w:pPr>
        <w:spacing w:after="200" w:line="276" w:lineRule="auto"/>
        <w:jc w:val="both"/>
      </w:pPr>
      <w:r>
        <w:t>PFT’s own political action committee has distributed $1.8 million in political contributions since 2018, with 99.4% flowing to Democratic candidates and liberal causes and just $10,000 (0.6%) to Republican candidates. The top recipients include Fighting Together for Philadelphia ($150,000), Friends of Helen Gym ($108,800), and Forward Together Philadelphia ($100,000). The following table shows PFT PAC’s largest recipients.</w:t>
      </w:r>
      <w:r>
        <w:rPr>
          <w:rStyle w:val="EndnoteReference"/>
        </w:rPr>
        <w:endnoteReference w:id="15"/>
      </w:r>
      <w:r>
        <w:t xml:space="preserve"> Friends of Helen Gym, the PAC’s second-largest recipient at $108,800, backed a politician with one of the most aggressive records on gender ideology of any Philadelphia elected official. As a sitting at-large Councilmember, Gym authored the 2022 legislative package and Human Relations Commission regulations that require every youth-serving institution in the city to accommodate gender transition by minors. Her bills built on Philadelphia’s broader LGBTQ legislative framework — including longstanding anti-discrimination protections for “gender identity” and “gender non-conformity” and a city-government requirement for gender-neutral single-occupancy facilities — adding youth-specific mandates on top of those existing protections.</w:t>
      </w:r>
      <w:r>
        <w:rPr>
          <w:rStyle w:val="EndnoteReference"/>
        </w:rPr>
        <w:endnoteReference w:id="16"/>
      </w:r>
      <w:r>
        <w:rPr>
          <w:rStyle w:val="EndnoteReference"/>
        </w:rPr>
        <w:endnoteReference w:id="17"/>
      </w:r>
    </w:p>
    <w:tbl>
      <w:tblPr>
        <w:tblW w:w="9360" w:type="dxa"/>
        <w:tblLayout w:type="fixed"/>
        <w:tblCellMar>
          <w:top w:w="80" w:type="dxa"/>
          <w:left w:w="120" w:type="dxa"/>
          <w:bottom w:w="80" w:type="dxa"/>
          <w:right w:w="120" w:type="dxa"/>
        </w:tblCellMar>
        <w:tblLook w:val="0000" w:firstRow="0" w:lastRow="0" w:firstColumn="0" w:lastColumn="0" w:noHBand="0" w:noVBand="0"/>
      </w:tblPr>
      <w:tblGrid>
        <w:gridCol w:w="5148"/>
        <w:gridCol w:w="2340"/>
        <w:gridCol w:w="1872"/>
      </w:tblGrid>
      <w:tr w:rsidR="00C44AF5" w14:paraId="0502B58C" w14:textId="77777777">
        <w:tc>
          <w:tcPr>
            <w:tcW w:w="5148" w:type="dxa"/>
            <w:tcBorders>
              <w:top w:val="single" w:sz="4" w:space="0" w:color="000000"/>
              <w:left w:val="single" w:sz="4" w:space="0" w:color="000000"/>
              <w:bottom w:val="single" w:sz="4" w:space="0" w:color="000000"/>
              <w:right w:val="single" w:sz="4" w:space="0" w:color="000000"/>
            </w:tcBorders>
            <w:shd w:val="clear" w:color="auto" w:fill="1F3864"/>
          </w:tcPr>
          <w:p w14:paraId="4825DA77" w14:textId="77777777" w:rsidR="00C44AF5" w:rsidRDefault="00F25B3F">
            <w:r>
              <w:rPr>
                <w:b/>
                <w:bCs/>
                <w:color w:val="FFFFFF"/>
                <w:sz w:val="20"/>
                <w:szCs w:val="20"/>
              </w:rPr>
              <w:t>Recipient</w:t>
            </w:r>
          </w:p>
        </w:tc>
        <w:tc>
          <w:tcPr>
            <w:tcW w:w="2340" w:type="dxa"/>
            <w:tcBorders>
              <w:top w:val="single" w:sz="4" w:space="0" w:color="000000"/>
              <w:left w:val="single" w:sz="4" w:space="0" w:color="000000"/>
              <w:bottom w:val="single" w:sz="4" w:space="0" w:color="000000"/>
              <w:right w:val="single" w:sz="4" w:space="0" w:color="000000"/>
            </w:tcBorders>
            <w:shd w:val="clear" w:color="auto" w:fill="1F3864"/>
          </w:tcPr>
          <w:p w14:paraId="6F3AE99C" w14:textId="77777777" w:rsidR="00C44AF5" w:rsidRDefault="00F25B3F">
            <w:pPr>
              <w:jc w:val="right"/>
            </w:pPr>
            <w:r>
              <w:rPr>
                <w:b/>
                <w:bCs/>
                <w:color w:val="FFFFFF"/>
                <w:sz w:val="20"/>
                <w:szCs w:val="20"/>
              </w:rPr>
              <w:t>Amount</w:t>
            </w:r>
          </w:p>
        </w:tc>
        <w:tc>
          <w:tcPr>
            <w:tcW w:w="1872" w:type="dxa"/>
            <w:tcBorders>
              <w:top w:val="single" w:sz="4" w:space="0" w:color="000000"/>
              <w:left w:val="single" w:sz="4" w:space="0" w:color="000000"/>
              <w:bottom w:val="single" w:sz="4" w:space="0" w:color="000000"/>
              <w:right w:val="single" w:sz="4" w:space="0" w:color="000000"/>
            </w:tcBorders>
            <w:shd w:val="clear" w:color="auto" w:fill="1F3864"/>
          </w:tcPr>
          <w:p w14:paraId="4220F278" w14:textId="77777777" w:rsidR="00C44AF5" w:rsidRDefault="00F25B3F">
            <w:pPr>
              <w:jc w:val="right"/>
            </w:pPr>
            <w:r>
              <w:rPr>
                <w:b/>
                <w:bCs/>
                <w:color w:val="FFFFFF"/>
                <w:sz w:val="20"/>
                <w:szCs w:val="20"/>
              </w:rPr>
              <w:t>Party</w:t>
            </w:r>
          </w:p>
        </w:tc>
      </w:tr>
      <w:tr w:rsidR="00C44AF5" w14:paraId="7509349C" w14:textId="77777777">
        <w:tc>
          <w:tcPr>
            <w:tcW w:w="5148" w:type="dxa"/>
            <w:tcBorders>
              <w:top w:val="single" w:sz="4" w:space="0" w:color="000000"/>
              <w:left w:val="single" w:sz="4" w:space="0" w:color="000000"/>
              <w:bottom w:val="single" w:sz="4" w:space="0" w:color="000000"/>
              <w:right w:val="single" w:sz="4" w:space="0" w:color="000000"/>
            </w:tcBorders>
          </w:tcPr>
          <w:p w14:paraId="53FB6811" w14:textId="77777777" w:rsidR="00C44AF5" w:rsidRDefault="00F25B3F">
            <w:r>
              <w:rPr>
                <w:sz w:val="20"/>
                <w:szCs w:val="20"/>
              </w:rPr>
              <w:t>Fighting Together for Philadelphia</w:t>
            </w:r>
          </w:p>
        </w:tc>
        <w:tc>
          <w:tcPr>
            <w:tcW w:w="2340" w:type="dxa"/>
            <w:tcBorders>
              <w:top w:val="single" w:sz="4" w:space="0" w:color="000000"/>
              <w:left w:val="single" w:sz="4" w:space="0" w:color="000000"/>
              <w:bottom w:val="single" w:sz="4" w:space="0" w:color="000000"/>
              <w:right w:val="single" w:sz="4" w:space="0" w:color="000000"/>
            </w:tcBorders>
          </w:tcPr>
          <w:p w14:paraId="6ED43475" w14:textId="77777777" w:rsidR="00C44AF5" w:rsidRDefault="00F25B3F">
            <w:pPr>
              <w:jc w:val="right"/>
            </w:pPr>
            <w:r>
              <w:rPr>
                <w:sz w:val="20"/>
                <w:szCs w:val="20"/>
              </w:rPr>
              <w:t>$150,000</w:t>
            </w:r>
          </w:p>
        </w:tc>
        <w:tc>
          <w:tcPr>
            <w:tcW w:w="1872" w:type="dxa"/>
            <w:tcBorders>
              <w:top w:val="single" w:sz="4" w:space="0" w:color="000000"/>
              <w:left w:val="single" w:sz="4" w:space="0" w:color="000000"/>
              <w:bottom w:val="single" w:sz="4" w:space="0" w:color="000000"/>
              <w:right w:val="single" w:sz="4" w:space="0" w:color="000000"/>
            </w:tcBorders>
          </w:tcPr>
          <w:p w14:paraId="5DED5600" w14:textId="77777777" w:rsidR="00C44AF5" w:rsidRDefault="00F25B3F">
            <w:pPr>
              <w:jc w:val="right"/>
            </w:pPr>
            <w:r>
              <w:rPr>
                <w:sz w:val="20"/>
                <w:szCs w:val="20"/>
              </w:rPr>
              <w:t>D</w:t>
            </w:r>
          </w:p>
        </w:tc>
      </w:tr>
      <w:tr w:rsidR="00C44AF5" w14:paraId="54FE33CA" w14:textId="77777777">
        <w:tc>
          <w:tcPr>
            <w:tcW w:w="5148" w:type="dxa"/>
            <w:tcBorders>
              <w:top w:val="single" w:sz="4" w:space="0" w:color="000000"/>
              <w:left w:val="single" w:sz="4" w:space="0" w:color="000000"/>
              <w:bottom w:val="single" w:sz="4" w:space="0" w:color="000000"/>
              <w:right w:val="single" w:sz="4" w:space="0" w:color="000000"/>
            </w:tcBorders>
          </w:tcPr>
          <w:p w14:paraId="7D34331D" w14:textId="77777777" w:rsidR="00C44AF5" w:rsidRDefault="00F25B3F">
            <w:r>
              <w:rPr>
                <w:sz w:val="20"/>
                <w:szCs w:val="20"/>
              </w:rPr>
              <w:t>Friends of Helen Gym</w:t>
            </w:r>
          </w:p>
        </w:tc>
        <w:tc>
          <w:tcPr>
            <w:tcW w:w="2340" w:type="dxa"/>
            <w:tcBorders>
              <w:top w:val="single" w:sz="4" w:space="0" w:color="000000"/>
              <w:left w:val="single" w:sz="4" w:space="0" w:color="000000"/>
              <w:bottom w:val="single" w:sz="4" w:space="0" w:color="000000"/>
              <w:right w:val="single" w:sz="4" w:space="0" w:color="000000"/>
            </w:tcBorders>
          </w:tcPr>
          <w:p w14:paraId="5699D5B2" w14:textId="77777777" w:rsidR="00C44AF5" w:rsidRDefault="00F25B3F">
            <w:pPr>
              <w:jc w:val="right"/>
            </w:pPr>
            <w:r>
              <w:rPr>
                <w:sz w:val="20"/>
                <w:szCs w:val="20"/>
              </w:rPr>
              <w:t>$108,800</w:t>
            </w:r>
          </w:p>
        </w:tc>
        <w:tc>
          <w:tcPr>
            <w:tcW w:w="1872" w:type="dxa"/>
            <w:tcBorders>
              <w:top w:val="single" w:sz="4" w:space="0" w:color="000000"/>
              <w:left w:val="single" w:sz="4" w:space="0" w:color="000000"/>
              <w:bottom w:val="single" w:sz="4" w:space="0" w:color="000000"/>
              <w:right w:val="single" w:sz="4" w:space="0" w:color="000000"/>
            </w:tcBorders>
          </w:tcPr>
          <w:p w14:paraId="66A7F8BC" w14:textId="77777777" w:rsidR="00C44AF5" w:rsidRDefault="00F25B3F">
            <w:pPr>
              <w:jc w:val="right"/>
            </w:pPr>
            <w:r>
              <w:rPr>
                <w:sz w:val="20"/>
                <w:szCs w:val="20"/>
              </w:rPr>
              <w:t>D</w:t>
            </w:r>
          </w:p>
        </w:tc>
      </w:tr>
      <w:tr w:rsidR="00C44AF5" w14:paraId="5B5E1FE9" w14:textId="77777777">
        <w:tc>
          <w:tcPr>
            <w:tcW w:w="5148" w:type="dxa"/>
            <w:tcBorders>
              <w:top w:val="single" w:sz="4" w:space="0" w:color="000000"/>
              <w:left w:val="single" w:sz="4" w:space="0" w:color="000000"/>
              <w:bottom w:val="single" w:sz="4" w:space="0" w:color="000000"/>
              <w:right w:val="single" w:sz="4" w:space="0" w:color="000000"/>
            </w:tcBorders>
          </w:tcPr>
          <w:p w14:paraId="3715B103" w14:textId="77777777" w:rsidR="00C44AF5" w:rsidRDefault="00F25B3F">
            <w:r>
              <w:rPr>
                <w:sz w:val="20"/>
                <w:szCs w:val="20"/>
              </w:rPr>
              <w:t>Forward Together Philadelphia</w:t>
            </w:r>
          </w:p>
        </w:tc>
        <w:tc>
          <w:tcPr>
            <w:tcW w:w="2340" w:type="dxa"/>
            <w:tcBorders>
              <w:top w:val="single" w:sz="4" w:space="0" w:color="000000"/>
              <w:left w:val="single" w:sz="4" w:space="0" w:color="000000"/>
              <w:bottom w:val="single" w:sz="4" w:space="0" w:color="000000"/>
              <w:right w:val="single" w:sz="4" w:space="0" w:color="000000"/>
            </w:tcBorders>
          </w:tcPr>
          <w:p w14:paraId="563497C1" w14:textId="77777777" w:rsidR="00C44AF5" w:rsidRDefault="00F25B3F">
            <w:pPr>
              <w:jc w:val="right"/>
            </w:pPr>
            <w:r>
              <w:rPr>
                <w:sz w:val="20"/>
                <w:szCs w:val="20"/>
              </w:rPr>
              <w:t>$100,000</w:t>
            </w:r>
          </w:p>
        </w:tc>
        <w:tc>
          <w:tcPr>
            <w:tcW w:w="1872" w:type="dxa"/>
            <w:tcBorders>
              <w:top w:val="single" w:sz="4" w:space="0" w:color="000000"/>
              <w:left w:val="single" w:sz="4" w:space="0" w:color="000000"/>
              <w:bottom w:val="single" w:sz="4" w:space="0" w:color="000000"/>
              <w:right w:val="single" w:sz="4" w:space="0" w:color="000000"/>
            </w:tcBorders>
          </w:tcPr>
          <w:p w14:paraId="3AAEB4E2" w14:textId="77777777" w:rsidR="00C44AF5" w:rsidRDefault="00F25B3F">
            <w:pPr>
              <w:jc w:val="right"/>
            </w:pPr>
            <w:r>
              <w:rPr>
                <w:sz w:val="20"/>
                <w:szCs w:val="20"/>
              </w:rPr>
              <w:t>D</w:t>
            </w:r>
          </w:p>
        </w:tc>
      </w:tr>
    </w:tbl>
    <w:p w14:paraId="44FB175E" w14:textId="77777777" w:rsidR="00C44AF5" w:rsidRDefault="00C44AF5">
      <w:pPr>
        <w:spacing w:after="200" w:line="276" w:lineRule="auto"/>
        <w:jc w:val="both"/>
      </w:pPr>
    </w:p>
    <w:p w14:paraId="6FBC564D" w14:textId="7291E7C6" w:rsidR="00C44AF5" w:rsidRDefault="00F25B3F">
      <w:pPr>
        <w:spacing w:after="200" w:line="276" w:lineRule="auto"/>
        <w:jc w:val="both"/>
      </w:pPr>
      <w:r>
        <w:t xml:space="preserve">Beyond PFT’s own PAC, the American Federation of Teachers’ national political arm, AFT/COPE, has spent an additional $1,752,154 on Pennsylvania political contributions since 2018, 100% of </w:t>
      </w:r>
      <w:r>
        <w:lastRenderedPageBreak/>
        <w:t>which went to Democratic candidates. AFT/COPE’s Pennsylvania spending is dominated by three massive contributions: $500,000 each to Shapiro for Pennsylvania, Fighting Together for Philadelphia, and Tom Wolf for Governor. Combined with PFT’s own PAC, total political spending across both committees reaches $3,546,453, with 99.9% flowing to Democratic and liberal causes.</w:t>
      </w:r>
      <w:r>
        <w:rPr>
          <w:rStyle w:val="EndnoteReference"/>
        </w:rPr>
        <w:endnoteReference w:id="18"/>
      </w:r>
    </w:p>
    <w:tbl>
      <w:tblPr>
        <w:tblW w:w="9360" w:type="dxa"/>
        <w:tblLayout w:type="fixed"/>
        <w:tblCellMar>
          <w:top w:w="80" w:type="dxa"/>
          <w:left w:w="120" w:type="dxa"/>
          <w:bottom w:w="80" w:type="dxa"/>
          <w:right w:w="120" w:type="dxa"/>
        </w:tblCellMar>
        <w:tblLook w:val="04A0" w:firstRow="1" w:lastRow="0" w:firstColumn="1" w:lastColumn="0" w:noHBand="0" w:noVBand="1"/>
      </w:tblPr>
      <w:tblGrid>
        <w:gridCol w:w="5148"/>
        <w:gridCol w:w="2340"/>
        <w:gridCol w:w="1872"/>
      </w:tblGrid>
      <w:tr w:rsidR="00C44AF5" w14:paraId="087EC4DD" w14:textId="77777777">
        <w:tc>
          <w:tcPr>
            <w:tcW w:w="5148" w:type="dxa"/>
            <w:tcBorders>
              <w:top w:val="single" w:sz="4" w:space="0" w:color="000000"/>
              <w:left w:val="single" w:sz="4" w:space="0" w:color="000000"/>
              <w:bottom w:val="single" w:sz="4" w:space="0" w:color="000000"/>
              <w:right w:val="single" w:sz="4" w:space="0" w:color="000000"/>
            </w:tcBorders>
            <w:shd w:val="clear" w:color="auto" w:fill="1F3864"/>
          </w:tcPr>
          <w:p w14:paraId="2747AA0E" w14:textId="77777777" w:rsidR="00C44AF5" w:rsidRDefault="00F25B3F">
            <w:r>
              <w:rPr>
                <w:b/>
                <w:bCs/>
                <w:color w:val="FFFFFF"/>
                <w:sz w:val="20"/>
                <w:szCs w:val="20"/>
              </w:rPr>
              <w:t>Recipient</w:t>
            </w:r>
          </w:p>
        </w:tc>
        <w:tc>
          <w:tcPr>
            <w:tcW w:w="2340" w:type="dxa"/>
            <w:tcBorders>
              <w:top w:val="single" w:sz="4" w:space="0" w:color="000000"/>
              <w:left w:val="single" w:sz="4" w:space="0" w:color="000000"/>
              <w:bottom w:val="single" w:sz="4" w:space="0" w:color="000000"/>
              <w:right w:val="single" w:sz="4" w:space="0" w:color="000000"/>
            </w:tcBorders>
            <w:shd w:val="clear" w:color="auto" w:fill="1F3864"/>
          </w:tcPr>
          <w:p w14:paraId="0353AC16" w14:textId="77777777" w:rsidR="00C44AF5" w:rsidRDefault="00F25B3F">
            <w:pPr>
              <w:jc w:val="right"/>
            </w:pPr>
            <w:r>
              <w:rPr>
                <w:b/>
                <w:bCs/>
                <w:color w:val="FFFFFF"/>
                <w:sz w:val="20"/>
                <w:szCs w:val="20"/>
              </w:rPr>
              <w:t>Amount</w:t>
            </w:r>
          </w:p>
        </w:tc>
        <w:tc>
          <w:tcPr>
            <w:tcW w:w="1872" w:type="dxa"/>
            <w:tcBorders>
              <w:top w:val="single" w:sz="4" w:space="0" w:color="000000"/>
              <w:left w:val="single" w:sz="4" w:space="0" w:color="000000"/>
              <w:bottom w:val="single" w:sz="4" w:space="0" w:color="000000"/>
              <w:right w:val="single" w:sz="4" w:space="0" w:color="000000"/>
            </w:tcBorders>
            <w:shd w:val="clear" w:color="auto" w:fill="1F3864"/>
          </w:tcPr>
          <w:p w14:paraId="3BFD8908" w14:textId="77777777" w:rsidR="00C44AF5" w:rsidRDefault="00F25B3F">
            <w:pPr>
              <w:jc w:val="right"/>
            </w:pPr>
            <w:r>
              <w:rPr>
                <w:b/>
                <w:bCs/>
                <w:color w:val="FFFFFF"/>
                <w:sz w:val="20"/>
                <w:szCs w:val="20"/>
              </w:rPr>
              <w:t>Party</w:t>
            </w:r>
          </w:p>
        </w:tc>
      </w:tr>
      <w:tr w:rsidR="00C44AF5" w14:paraId="1614F66B" w14:textId="77777777">
        <w:tc>
          <w:tcPr>
            <w:tcW w:w="5148" w:type="dxa"/>
            <w:tcBorders>
              <w:top w:val="single" w:sz="4" w:space="0" w:color="000000"/>
              <w:left w:val="single" w:sz="4" w:space="0" w:color="000000"/>
              <w:bottom w:val="single" w:sz="4" w:space="0" w:color="000000"/>
              <w:right w:val="single" w:sz="4" w:space="0" w:color="000000"/>
            </w:tcBorders>
          </w:tcPr>
          <w:p w14:paraId="02530B4F" w14:textId="77777777" w:rsidR="00C44AF5" w:rsidRDefault="00F25B3F">
            <w:r>
              <w:rPr>
                <w:sz w:val="20"/>
                <w:szCs w:val="20"/>
              </w:rPr>
              <w:t>Shapiro for Pennsylvania</w:t>
            </w:r>
          </w:p>
        </w:tc>
        <w:tc>
          <w:tcPr>
            <w:tcW w:w="2340" w:type="dxa"/>
            <w:tcBorders>
              <w:top w:val="single" w:sz="4" w:space="0" w:color="000000"/>
              <w:left w:val="single" w:sz="4" w:space="0" w:color="000000"/>
              <w:bottom w:val="single" w:sz="4" w:space="0" w:color="000000"/>
              <w:right w:val="single" w:sz="4" w:space="0" w:color="000000"/>
            </w:tcBorders>
          </w:tcPr>
          <w:p w14:paraId="46E591F1" w14:textId="77777777" w:rsidR="00C44AF5" w:rsidRDefault="00F25B3F">
            <w:pPr>
              <w:jc w:val="right"/>
            </w:pPr>
            <w:r>
              <w:rPr>
                <w:sz w:val="20"/>
                <w:szCs w:val="20"/>
              </w:rPr>
              <w:t>$500,000</w:t>
            </w:r>
          </w:p>
        </w:tc>
        <w:tc>
          <w:tcPr>
            <w:tcW w:w="1872" w:type="dxa"/>
            <w:tcBorders>
              <w:top w:val="single" w:sz="4" w:space="0" w:color="000000"/>
              <w:left w:val="single" w:sz="4" w:space="0" w:color="000000"/>
              <w:bottom w:val="single" w:sz="4" w:space="0" w:color="000000"/>
              <w:right w:val="single" w:sz="4" w:space="0" w:color="000000"/>
            </w:tcBorders>
          </w:tcPr>
          <w:p w14:paraId="701CA5E3" w14:textId="77777777" w:rsidR="00C44AF5" w:rsidRDefault="00F25B3F">
            <w:pPr>
              <w:jc w:val="right"/>
            </w:pPr>
            <w:r>
              <w:rPr>
                <w:sz w:val="20"/>
                <w:szCs w:val="20"/>
              </w:rPr>
              <w:t>Democratic</w:t>
            </w:r>
          </w:p>
        </w:tc>
      </w:tr>
      <w:tr w:rsidR="00C44AF5" w14:paraId="6EBD6632" w14:textId="77777777">
        <w:tc>
          <w:tcPr>
            <w:tcW w:w="5148" w:type="dxa"/>
            <w:tcBorders>
              <w:top w:val="single" w:sz="4" w:space="0" w:color="000000"/>
              <w:left w:val="single" w:sz="4" w:space="0" w:color="000000"/>
              <w:bottom w:val="single" w:sz="4" w:space="0" w:color="000000"/>
              <w:right w:val="single" w:sz="4" w:space="0" w:color="000000"/>
            </w:tcBorders>
          </w:tcPr>
          <w:p w14:paraId="3D3E3193" w14:textId="77777777" w:rsidR="00C44AF5" w:rsidRDefault="00F25B3F">
            <w:r>
              <w:rPr>
                <w:sz w:val="20"/>
                <w:szCs w:val="20"/>
              </w:rPr>
              <w:t>Fighting Together for Philadelphia</w:t>
            </w:r>
          </w:p>
        </w:tc>
        <w:tc>
          <w:tcPr>
            <w:tcW w:w="2340" w:type="dxa"/>
            <w:tcBorders>
              <w:top w:val="single" w:sz="4" w:space="0" w:color="000000"/>
              <w:left w:val="single" w:sz="4" w:space="0" w:color="000000"/>
              <w:bottom w:val="single" w:sz="4" w:space="0" w:color="000000"/>
              <w:right w:val="single" w:sz="4" w:space="0" w:color="000000"/>
            </w:tcBorders>
          </w:tcPr>
          <w:p w14:paraId="1600B1EA" w14:textId="77777777" w:rsidR="00C44AF5" w:rsidRDefault="00F25B3F">
            <w:pPr>
              <w:jc w:val="right"/>
            </w:pPr>
            <w:r>
              <w:rPr>
                <w:sz w:val="20"/>
                <w:szCs w:val="20"/>
              </w:rPr>
              <w:t>$500,000</w:t>
            </w:r>
          </w:p>
        </w:tc>
        <w:tc>
          <w:tcPr>
            <w:tcW w:w="1872" w:type="dxa"/>
            <w:tcBorders>
              <w:top w:val="single" w:sz="4" w:space="0" w:color="000000"/>
              <w:left w:val="single" w:sz="4" w:space="0" w:color="000000"/>
              <w:bottom w:val="single" w:sz="4" w:space="0" w:color="000000"/>
              <w:right w:val="single" w:sz="4" w:space="0" w:color="000000"/>
            </w:tcBorders>
          </w:tcPr>
          <w:p w14:paraId="33B62BDC" w14:textId="77777777" w:rsidR="00C44AF5" w:rsidRDefault="00F25B3F">
            <w:pPr>
              <w:jc w:val="right"/>
            </w:pPr>
            <w:r>
              <w:rPr>
                <w:sz w:val="20"/>
                <w:szCs w:val="20"/>
              </w:rPr>
              <w:t>Democratic</w:t>
            </w:r>
          </w:p>
        </w:tc>
      </w:tr>
      <w:tr w:rsidR="00C44AF5" w14:paraId="4AEE7DA1" w14:textId="77777777">
        <w:tc>
          <w:tcPr>
            <w:tcW w:w="5148" w:type="dxa"/>
            <w:tcBorders>
              <w:top w:val="single" w:sz="4" w:space="0" w:color="000000"/>
              <w:left w:val="single" w:sz="4" w:space="0" w:color="000000"/>
              <w:bottom w:val="single" w:sz="4" w:space="0" w:color="000000"/>
              <w:right w:val="single" w:sz="4" w:space="0" w:color="000000"/>
            </w:tcBorders>
          </w:tcPr>
          <w:p w14:paraId="73066CBE" w14:textId="77777777" w:rsidR="00C44AF5" w:rsidRDefault="00F25B3F">
            <w:r>
              <w:rPr>
                <w:sz w:val="20"/>
                <w:szCs w:val="20"/>
              </w:rPr>
              <w:t>Tom Wolf for Governor</w:t>
            </w:r>
          </w:p>
        </w:tc>
        <w:tc>
          <w:tcPr>
            <w:tcW w:w="2340" w:type="dxa"/>
            <w:tcBorders>
              <w:top w:val="single" w:sz="4" w:space="0" w:color="000000"/>
              <w:left w:val="single" w:sz="4" w:space="0" w:color="000000"/>
              <w:bottom w:val="single" w:sz="4" w:space="0" w:color="000000"/>
              <w:right w:val="single" w:sz="4" w:space="0" w:color="000000"/>
            </w:tcBorders>
          </w:tcPr>
          <w:p w14:paraId="5886BA78" w14:textId="77777777" w:rsidR="00C44AF5" w:rsidRDefault="00F25B3F">
            <w:pPr>
              <w:jc w:val="right"/>
            </w:pPr>
            <w:r>
              <w:rPr>
                <w:sz w:val="20"/>
                <w:szCs w:val="20"/>
              </w:rPr>
              <w:t>$500,000</w:t>
            </w:r>
          </w:p>
        </w:tc>
        <w:tc>
          <w:tcPr>
            <w:tcW w:w="1872" w:type="dxa"/>
            <w:tcBorders>
              <w:top w:val="single" w:sz="4" w:space="0" w:color="000000"/>
              <w:left w:val="single" w:sz="4" w:space="0" w:color="000000"/>
              <w:bottom w:val="single" w:sz="4" w:space="0" w:color="000000"/>
              <w:right w:val="single" w:sz="4" w:space="0" w:color="000000"/>
            </w:tcBorders>
          </w:tcPr>
          <w:p w14:paraId="43AC7AC4" w14:textId="77777777" w:rsidR="00C44AF5" w:rsidRDefault="00F25B3F">
            <w:pPr>
              <w:jc w:val="right"/>
            </w:pPr>
            <w:r>
              <w:rPr>
                <w:sz w:val="20"/>
                <w:szCs w:val="20"/>
              </w:rPr>
              <w:t>Democratic</w:t>
            </w:r>
          </w:p>
        </w:tc>
      </w:tr>
    </w:tbl>
    <w:p w14:paraId="3A566DD1" w14:textId="77777777" w:rsidR="00C44AF5" w:rsidRDefault="00C44AF5">
      <w:pPr>
        <w:spacing w:after="200" w:line="276" w:lineRule="auto"/>
        <w:jc w:val="both"/>
      </w:pPr>
    </w:p>
    <w:p w14:paraId="20BFCD16" w14:textId="77777777" w:rsidR="00C44AF5" w:rsidRDefault="00F25B3F">
      <w:pPr>
        <w:spacing w:after="200" w:line="276" w:lineRule="auto"/>
        <w:jc w:val="both"/>
      </w:pPr>
      <w:r>
        <w:t>The Supreme Court’s Janus v. AFSCME decision (2018) established that public-sector employees cannot be compelled to pay any union fees whatsoever—dues, agency fees, or otherwise—as a condition of employment. But many teachers remain unaware that they have the right to resign from the union entirely and stop paying dues altogether. PFT does not prominently advertise this option to members, and the dues collection system makes it difficult to exercise the right even when members know it exists.</w:t>
      </w:r>
    </w:p>
    <w:p w14:paraId="792B7684" w14:textId="77777777" w:rsidR="00C44AF5" w:rsidRDefault="00F25B3F">
      <w:pPr>
        <w:spacing w:before="360" w:after="200"/>
      </w:pPr>
      <w:r>
        <w:rPr>
          <w:b/>
          <w:bCs/>
          <w:color w:val="8B0000"/>
          <w:sz w:val="26"/>
          <w:szCs w:val="26"/>
        </w:rPr>
        <w:t>LOBBYIST CONNECTIONS</w:t>
      </w:r>
    </w:p>
    <w:p w14:paraId="136EA8A2" w14:textId="77777777" w:rsidR="00C44AF5" w:rsidRDefault="00F25B3F">
      <w:pPr>
        <w:spacing w:after="200" w:line="276" w:lineRule="auto"/>
        <w:jc w:val="both"/>
      </w:pPr>
      <w:r>
        <w:t>PFT's political strategy extends beyond electoral PAC spending into legislative lobbying, handled by Bellevue Strategies, a Philadelphia-based government affairs firm.</w:t>
      </w:r>
      <w:r>
        <w:rPr>
          <w:rStyle w:val="EndnoteReference"/>
        </w:rPr>
        <w:endnoteReference w:id="19"/>
      </w:r>
      <w:r>
        <w:t xml:space="preserve"> PFT's primary registered lobbyist is Mustafa Rashed, with Hillary Linardopoulos (PFT's own Legislative Representative, compensated at $39,433 per year) also registered as a PFT lobbyist. This dual arrangement—using both external lobbyists and an in-house officer—costs PFT significant resources, yet the union discloses no budget for lobbying or any breakdown of what legislative priorities consume dues money.</w:t>
      </w:r>
    </w:p>
    <w:p w14:paraId="1747F9F0" w14:textId="77777777" w:rsidR="00C44AF5" w:rsidRDefault="00F25B3F">
      <w:pPr>
        <w:spacing w:after="200" w:line="276" w:lineRule="auto"/>
        <w:jc w:val="both"/>
      </w:pPr>
      <w:r>
        <w:t>Bellevue Strategies represents over 85 clients simultaneously, creating a web of overlapping interests that may or may not align with education or union goals.</w:t>
      </w:r>
      <w:r>
        <w:rPr>
          <w:rStyle w:val="EndnoteReference"/>
        </w:rPr>
        <w:endnoteReference w:id="20"/>
      </w:r>
      <w:r>
        <w:t xml:space="preserve"> Notable Bellevue clients include Amazon.com, Comcast Spectacor (Philadelphia's sports venue operators), Starbucks, Uber Technologies, the Philadelphia Parking Authority, and SEPTA (regional transit). These are corporate clients with significant lobbying budgets. The union shares a lobbying firm with major employers, some of whom actively oppose labor organizing, meaning PFT's dues potentially support infrastructure that benefits corporate interests.</w:t>
      </w:r>
    </w:p>
    <w:p w14:paraId="3F4C30AC" w14:textId="77777777" w:rsidR="00C44AF5" w:rsidRDefault="00F25B3F">
      <w:pPr>
        <w:spacing w:after="200" w:line="276" w:lineRule="auto"/>
        <w:jc w:val="both"/>
      </w:pPr>
      <w:r>
        <w:t>More troubling: Bellevue Strategies also lobbies for Everytown for Gun Safety Action Fund, the nation's leading gun control advocacy organization.</w:t>
      </w:r>
      <w:r>
        <w:rPr>
          <w:rStyle w:val="EndnoteReference"/>
        </w:rPr>
        <w:endnoteReference w:id="21"/>
      </w:r>
      <w:r>
        <w:t xml:space="preserve"> This means that PFT's dues-funded lobbyist network provides access and infrastructure to gun control advocates. Teachers are not polled on whether their union should support gun control legislation, yet their dues money helps fund the lobbying apparatus that advances that cause. The connection reveals how union political spending extends far beyond education: Bellevue's client roster shows teachers' dues supporting causes with no nexus to classroom or teacher interests.</w:t>
      </w:r>
    </w:p>
    <w:p w14:paraId="68F41112" w14:textId="77777777" w:rsidR="00C44AF5" w:rsidRDefault="00F25B3F">
      <w:pPr>
        <w:spacing w:before="200" w:after="100"/>
      </w:pPr>
      <w:r>
        <w:rPr>
          <w:b/>
          <w:bCs/>
          <w:color w:val="1F4E79"/>
        </w:rPr>
        <w:lastRenderedPageBreak/>
        <w:t>Mustafa Rashed (Bellevue Strategies Lead Lobbyist)</w:t>
      </w:r>
    </w:p>
    <w:p w14:paraId="763FD087" w14:textId="77777777" w:rsidR="00C44AF5" w:rsidRDefault="00F25B3F">
      <w:pPr>
        <w:spacing w:after="200" w:line="276" w:lineRule="auto"/>
        <w:jc w:val="both"/>
      </w:pPr>
      <w:r>
        <w:t>Mustafa Rashed is registered as PFT's primary Pennsylvania lobbyist and maintains 46+ other clients, including Everytown for Gun Safety, Partnership for Working Families, Amazon.com, Starbucks, Calpine Corporation, and the Philadelphia Parking Authority.</w:t>
      </w:r>
      <w:r>
        <w:rPr>
          <w:rStyle w:val="EndnoteReference"/>
        </w:rPr>
        <w:endnoteReference w:id="22"/>
      </w:r>
      <w:r>
        <w:t xml:space="preserve"> Rashed's diverse client base means he divides his advocacy time across corporate interests, gun control advocacy, and union issues. In other words, PFT dues help sustain a lobbying operation that also advances gun control and corporate agendas—causes with no connection to the classroom.</w:t>
      </w:r>
    </w:p>
    <w:p w14:paraId="092FC7F4" w14:textId="77777777" w:rsidR="00C44AF5" w:rsidRDefault="00F25B3F">
      <w:pPr>
        <w:spacing w:before="200" w:after="100"/>
      </w:pPr>
      <w:r>
        <w:rPr>
          <w:b/>
          <w:bCs/>
          <w:color w:val="1F4E79"/>
        </w:rPr>
        <w:t>Hillary Linardopoulos (PFT Legislative Representative)</w:t>
      </w:r>
    </w:p>
    <w:p w14:paraId="09168754" w14:textId="77777777" w:rsidR="00C44AF5" w:rsidRDefault="00F25B3F">
      <w:pPr>
        <w:spacing w:after="200" w:line="276" w:lineRule="auto"/>
        <w:jc w:val="both"/>
      </w:pPr>
      <w:r>
        <w:t>Hillary Linardopoulos serves two roles: as PFT's Legislative Representative (earning $39,433 per year from the union) and as a registered Pennsylvania state lobbyist for PFT.</w:t>
      </w:r>
      <w:r>
        <w:rPr>
          <w:rStyle w:val="EndnoteReference"/>
        </w:rPr>
        <w:endnoteReference w:id="23"/>
      </w:r>
      <w:r>
        <w:t xml:space="preserve"> This dual compensation is common in unions but raises transparency concerns: it is unclear what portion of her salary is for union officer duties versus lobbying. Additionally, Linardopoulos is formally affiliated with PFT's PAC, suggesting her lobbying efforts are coordinated with the union's political spending. Her in-house role gives her direct influence over dues allocation without any independent oversight.</w:t>
      </w:r>
    </w:p>
    <w:p w14:paraId="40525105" w14:textId="77777777" w:rsidR="00C44AF5" w:rsidRDefault="00F25B3F">
      <w:pPr>
        <w:spacing w:before="200" w:after="100"/>
      </w:pPr>
      <w:r>
        <w:rPr>
          <w:b/>
          <w:bCs/>
          <w:color w:val="1F4E79"/>
        </w:rPr>
        <w:t>Patterns and Themes</w:t>
      </w:r>
    </w:p>
    <w:p w14:paraId="30FB0CCD" w14:textId="77777777" w:rsidR="00C44AF5" w:rsidRDefault="00F25B3F">
      <w:pPr>
        <w:spacing w:after="200" w:line="276" w:lineRule="auto"/>
        <w:jc w:val="both"/>
      </w:pPr>
      <w:r>
        <w:t>The pattern in PFT's lobbying network reveals a fundamental problem: the union's political and lobbying infrastructure is inseparable from partisan Democratic politics. Bellevue Strategies' client list—which mixes corporate employers, gun control organizations, and unions—shows that PFT's dues money flows into a network that advances causes unrelated to teaching or education. Teachers have no transparency into what legislative agenda their union pursues, and no mechanism to object if those priorities conflict with their values.</w:t>
      </w:r>
    </w:p>
    <w:p w14:paraId="2A26E21A" w14:textId="77777777" w:rsidR="00C44AF5" w:rsidRDefault="00F25B3F">
      <w:pPr>
        <w:spacing w:after="200" w:line="276" w:lineRule="auto"/>
        <w:jc w:val="both"/>
      </w:pPr>
      <w:r>
        <w:t>PFT does not publish an annual legislative agenda or report back to members on what lobbying priorities consumed their dues. The silence is telling as publishing a lobbying agenda would invite scrutiny, especially when those priorities stray from education. By keeping lobbying opaque, PFT leadership maximizes discretion and minimizes accountability.</w:t>
      </w:r>
    </w:p>
    <w:p w14:paraId="30BCB9D1" w14:textId="77777777" w:rsidR="00C44AF5" w:rsidRDefault="00F25B3F">
      <w:pPr>
        <w:spacing w:after="200" w:line="276" w:lineRule="auto"/>
        <w:jc w:val="both"/>
      </w:pPr>
      <w:r>
        <w:t>PFT's lobbying operations reveal how union dues flow into political networks far larger than the local union. Teachers contributing to PFT fund access to Bellevue Strategies' 85+ client network, which includes gun control organizations and corporate employers. This network operates primarily outside member awareness or consent. The lack of transparency around lobbying spending, priorities, and outcomes means teachers cannot assess whether PFT's legislative agenda serves their interests or the interests of others.</w:t>
      </w:r>
    </w:p>
    <w:p w14:paraId="53314D82" w14:textId="77777777" w:rsidR="00C44AF5" w:rsidRDefault="00F25B3F">
      <w:pPr>
        <w:spacing w:before="360" w:after="200"/>
      </w:pPr>
      <w:r>
        <w:rPr>
          <w:b/>
          <w:bCs/>
          <w:color w:val="8B0000"/>
          <w:sz w:val="26"/>
          <w:szCs w:val="26"/>
        </w:rPr>
        <w:t>TOP COMPENSATION</w:t>
      </w:r>
    </w:p>
    <w:p w14:paraId="2577521D" w14:textId="77777777" w:rsidR="00C44AF5" w:rsidRDefault="00F25B3F">
      <w:pPr>
        <w:spacing w:after="200" w:line="276" w:lineRule="auto"/>
        <w:jc w:val="both"/>
      </w:pPr>
      <w:r>
        <w:t>PFT's officer and staff compensation reveals a top-heavy organization where leadership salaries consume significant dues revenue while front-line member services may lack resources.</w:t>
      </w:r>
      <w:r>
        <w:rPr>
          <w:rStyle w:val="EndnoteReference"/>
        </w:rPr>
        <w:endnoteReference w:id="24"/>
      </w:r>
      <w:r>
        <w:t xml:space="preserve"> The highest-paid employee is Mario DeClerico, a staff position (not an officer) earning $159,624 per year in FY2024. He is followed by two other staff employees earning over $140,000: Cynthia Bolden ($146,377) and Michael D'Arcy ($141,095). These are six-figure salaries for union staff, financed entirely by teachers' dues.</w:t>
      </w:r>
    </w:p>
    <w:p w14:paraId="6D95ECDD" w14:textId="77777777" w:rsidR="00C44AF5" w:rsidRDefault="00F25B3F">
      <w:pPr>
        <w:spacing w:after="200" w:line="276" w:lineRule="auto"/>
        <w:jc w:val="both"/>
      </w:pPr>
      <w:r>
        <w:lastRenderedPageBreak/>
        <w:t xml:space="preserve">The union has not disclosed why a staff member needs $159,624 when dues come from teachers earning far less. Without anyone watching, salaries tend to creep up, and that’s exactly what the 990 filings show at PFT. </w:t>
      </w:r>
      <w:r>
        <w:rPr>
          <w:rStyle w:val="EndnoteReference"/>
        </w:rPr>
        <w:endnoteReference w:id="25"/>
      </w:r>
    </w:p>
    <w:tbl>
      <w:tblPr>
        <w:tblW w:w="9360" w:type="dxa"/>
        <w:tblLayout w:type="fixed"/>
        <w:tblCellMar>
          <w:top w:w="80" w:type="dxa"/>
          <w:left w:w="120" w:type="dxa"/>
          <w:bottom w:w="80" w:type="dxa"/>
          <w:right w:w="120" w:type="dxa"/>
        </w:tblCellMar>
        <w:tblLook w:val="0000" w:firstRow="0" w:lastRow="0" w:firstColumn="0" w:lastColumn="0" w:noHBand="0" w:noVBand="0"/>
      </w:tblPr>
      <w:tblGrid>
        <w:gridCol w:w="5616"/>
        <w:gridCol w:w="3744"/>
      </w:tblGrid>
      <w:tr w:rsidR="00C44AF5" w14:paraId="7FB42F5F" w14:textId="77777777">
        <w:tc>
          <w:tcPr>
            <w:tcW w:w="5616" w:type="dxa"/>
            <w:tcBorders>
              <w:top w:val="single" w:sz="4" w:space="0" w:color="000000"/>
              <w:left w:val="single" w:sz="4" w:space="0" w:color="000000"/>
              <w:bottom w:val="single" w:sz="4" w:space="0" w:color="000000"/>
              <w:right w:val="single" w:sz="4" w:space="0" w:color="000000"/>
            </w:tcBorders>
            <w:shd w:val="clear" w:color="auto" w:fill="1F3864"/>
          </w:tcPr>
          <w:p w14:paraId="2BACBB52" w14:textId="77777777" w:rsidR="00C44AF5" w:rsidRDefault="00F25B3F">
            <w:r>
              <w:rPr>
                <w:b/>
                <w:bCs/>
                <w:color w:val="FFFFFF"/>
                <w:sz w:val="20"/>
                <w:szCs w:val="20"/>
              </w:rPr>
              <w:t>Employee</w:t>
            </w:r>
          </w:p>
        </w:tc>
        <w:tc>
          <w:tcPr>
            <w:tcW w:w="3744" w:type="dxa"/>
            <w:tcBorders>
              <w:top w:val="single" w:sz="4" w:space="0" w:color="000000"/>
              <w:left w:val="single" w:sz="4" w:space="0" w:color="000000"/>
              <w:bottom w:val="single" w:sz="4" w:space="0" w:color="000000"/>
              <w:right w:val="single" w:sz="4" w:space="0" w:color="000000"/>
            </w:tcBorders>
            <w:shd w:val="clear" w:color="auto" w:fill="1F3864"/>
          </w:tcPr>
          <w:p w14:paraId="1C9AF4F5" w14:textId="77777777" w:rsidR="00C44AF5" w:rsidRDefault="00F25B3F">
            <w:pPr>
              <w:jc w:val="right"/>
            </w:pPr>
            <w:r>
              <w:rPr>
                <w:b/>
                <w:bCs/>
                <w:color w:val="FFFFFF"/>
                <w:sz w:val="20"/>
                <w:szCs w:val="20"/>
              </w:rPr>
              <w:t>Total Compensation</w:t>
            </w:r>
          </w:p>
        </w:tc>
      </w:tr>
      <w:tr w:rsidR="00C44AF5" w14:paraId="5B4304E3" w14:textId="77777777">
        <w:tc>
          <w:tcPr>
            <w:tcW w:w="5616" w:type="dxa"/>
            <w:tcBorders>
              <w:top w:val="single" w:sz="4" w:space="0" w:color="000000"/>
              <w:left w:val="single" w:sz="4" w:space="0" w:color="000000"/>
              <w:bottom w:val="single" w:sz="4" w:space="0" w:color="000000"/>
              <w:right w:val="single" w:sz="4" w:space="0" w:color="000000"/>
            </w:tcBorders>
          </w:tcPr>
          <w:p w14:paraId="3E8A3D95" w14:textId="77777777" w:rsidR="00C44AF5" w:rsidRDefault="00F25B3F">
            <w:r>
              <w:rPr>
                <w:sz w:val="20"/>
                <w:szCs w:val="20"/>
              </w:rPr>
              <w:t>Mario DeClerico</w:t>
            </w:r>
          </w:p>
        </w:tc>
        <w:tc>
          <w:tcPr>
            <w:tcW w:w="3744" w:type="dxa"/>
            <w:tcBorders>
              <w:top w:val="single" w:sz="4" w:space="0" w:color="000000"/>
              <w:left w:val="single" w:sz="4" w:space="0" w:color="000000"/>
              <w:bottom w:val="single" w:sz="4" w:space="0" w:color="000000"/>
              <w:right w:val="single" w:sz="4" w:space="0" w:color="000000"/>
            </w:tcBorders>
          </w:tcPr>
          <w:p w14:paraId="58695086" w14:textId="77777777" w:rsidR="00C44AF5" w:rsidRDefault="00F25B3F">
            <w:pPr>
              <w:jc w:val="right"/>
            </w:pPr>
            <w:r>
              <w:rPr>
                <w:sz w:val="20"/>
                <w:szCs w:val="20"/>
              </w:rPr>
              <w:t>$159,624</w:t>
            </w:r>
          </w:p>
        </w:tc>
      </w:tr>
      <w:tr w:rsidR="00C44AF5" w14:paraId="1149BD70"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351F5AFF" w14:textId="77777777" w:rsidR="00C44AF5" w:rsidRDefault="00F25B3F">
            <w:r>
              <w:rPr>
                <w:sz w:val="20"/>
                <w:szCs w:val="20"/>
              </w:rPr>
              <w:t>Cynthia Bolden</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0EF2BD02" w14:textId="77777777" w:rsidR="00C44AF5" w:rsidRDefault="00F25B3F">
            <w:pPr>
              <w:jc w:val="right"/>
            </w:pPr>
            <w:r>
              <w:rPr>
                <w:sz w:val="20"/>
                <w:szCs w:val="20"/>
              </w:rPr>
              <w:t>$146,377</w:t>
            </w:r>
          </w:p>
        </w:tc>
      </w:tr>
      <w:tr w:rsidR="00C44AF5" w14:paraId="1926C05E" w14:textId="77777777">
        <w:tc>
          <w:tcPr>
            <w:tcW w:w="5616" w:type="dxa"/>
            <w:tcBorders>
              <w:top w:val="single" w:sz="4" w:space="0" w:color="000000"/>
              <w:left w:val="single" w:sz="4" w:space="0" w:color="000000"/>
              <w:bottom w:val="single" w:sz="4" w:space="0" w:color="000000"/>
              <w:right w:val="single" w:sz="4" w:space="0" w:color="000000"/>
            </w:tcBorders>
          </w:tcPr>
          <w:p w14:paraId="54F51EA5" w14:textId="77777777" w:rsidR="00C44AF5" w:rsidRDefault="00F25B3F">
            <w:r>
              <w:rPr>
                <w:sz w:val="20"/>
                <w:szCs w:val="20"/>
              </w:rPr>
              <w:t>Michael D'Arcy</w:t>
            </w:r>
          </w:p>
        </w:tc>
        <w:tc>
          <w:tcPr>
            <w:tcW w:w="3744" w:type="dxa"/>
            <w:tcBorders>
              <w:top w:val="single" w:sz="4" w:space="0" w:color="000000"/>
              <w:left w:val="single" w:sz="4" w:space="0" w:color="000000"/>
              <w:bottom w:val="single" w:sz="4" w:space="0" w:color="000000"/>
              <w:right w:val="single" w:sz="4" w:space="0" w:color="000000"/>
            </w:tcBorders>
          </w:tcPr>
          <w:p w14:paraId="5AA5792E" w14:textId="77777777" w:rsidR="00C44AF5" w:rsidRDefault="00F25B3F">
            <w:pPr>
              <w:jc w:val="right"/>
            </w:pPr>
            <w:r>
              <w:rPr>
                <w:sz w:val="20"/>
                <w:szCs w:val="20"/>
              </w:rPr>
              <w:t>$141,095</w:t>
            </w:r>
          </w:p>
        </w:tc>
      </w:tr>
      <w:tr w:rsidR="00C44AF5" w14:paraId="5D657807" w14:textId="77777777">
        <w:tc>
          <w:tcPr>
            <w:tcW w:w="5616" w:type="dxa"/>
            <w:tcBorders>
              <w:top w:val="single" w:sz="4" w:space="0" w:color="000000"/>
              <w:left w:val="single" w:sz="4" w:space="0" w:color="000000"/>
              <w:bottom w:val="single" w:sz="4" w:space="0" w:color="000000"/>
              <w:right w:val="single" w:sz="4" w:space="0" w:color="000000"/>
            </w:tcBorders>
          </w:tcPr>
          <w:p w14:paraId="7EAE83C7" w14:textId="77777777" w:rsidR="00C44AF5" w:rsidRDefault="00F25B3F">
            <w:r>
              <w:rPr>
                <w:b/>
                <w:bCs/>
                <w:sz w:val="20"/>
                <w:szCs w:val="20"/>
              </w:rPr>
              <w:t>Total Compensation</w:t>
            </w:r>
          </w:p>
        </w:tc>
        <w:tc>
          <w:tcPr>
            <w:tcW w:w="3744" w:type="dxa"/>
            <w:tcBorders>
              <w:top w:val="single" w:sz="4" w:space="0" w:color="000000"/>
              <w:left w:val="single" w:sz="4" w:space="0" w:color="000000"/>
              <w:bottom w:val="single" w:sz="4" w:space="0" w:color="000000"/>
              <w:right w:val="single" w:sz="4" w:space="0" w:color="000000"/>
            </w:tcBorders>
          </w:tcPr>
          <w:p w14:paraId="08025AE3" w14:textId="77777777" w:rsidR="00C44AF5" w:rsidRDefault="00F25B3F">
            <w:pPr>
              <w:jc w:val="right"/>
            </w:pPr>
            <w:r>
              <w:rPr>
                <w:b/>
                <w:bCs/>
                <w:sz w:val="20"/>
                <w:szCs w:val="20"/>
              </w:rPr>
              <w:t>$447,096</w:t>
            </w:r>
          </w:p>
        </w:tc>
      </w:tr>
    </w:tbl>
    <w:p w14:paraId="18BA7BE9" w14:textId="02ACE2E6" w:rsidR="00C44AF5" w:rsidRDefault="00F25B3F">
      <w:pPr>
        <w:spacing w:after="200" w:line="276" w:lineRule="auto"/>
        <w:jc w:val="both"/>
      </w:pPr>
      <w:r>
        <w:t>Beyond individual staff compensation, the union’s overall compensation structure reveals organizational bloat. Part I, Line 15 of the 990 reports total compensation of $3.3 million, comprising $761,366 in officer compensation, $1.5 million in other salaries and wages, $930,518 in employee benefits, and $73,854 in payroll taxes. This total personnel cost represents 36.1% of PFT’s entire operating budget. The salary structure also raises questions about governance: a family relationship exists on the board (Levella Montgomery, Paraprofessional Representative, is the mother of Wendy Coleman, Associate Secretary), introducing potential conflicts of interest without any conflict policy to manage them.</w:t>
      </w:r>
      <w:r>
        <w:rPr>
          <w:rStyle w:val="EndnoteReference"/>
        </w:rPr>
        <w:endnoteReference w:id="26"/>
      </w:r>
    </w:p>
    <w:p w14:paraId="45306B8B" w14:textId="77777777" w:rsidR="00C44AF5" w:rsidRDefault="00F25B3F">
      <w:pPr>
        <w:spacing w:before="360" w:after="200"/>
      </w:pPr>
      <w:r>
        <w:rPr>
          <w:b/>
          <w:bCs/>
          <w:color w:val="8B0000"/>
          <w:sz w:val="26"/>
          <w:szCs w:val="26"/>
        </w:rPr>
        <w:t xml:space="preserve">MEMBERSHIP </w:t>
      </w:r>
    </w:p>
    <w:p w14:paraId="6D9A7B6D" w14:textId="4E3176B5" w:rsidR="00C44AF5" w:rsidRDefault="00F25B3F">
      <w:pPr>
        <w:spacing w:after="200" w:line="276" w:lineRule="auto"/>
        <w:jc w:val="both"/>
      </w:pPr>
      <w:r>
        <w:t xml:space="preserve">PFT’s 990 filing does not disclose membership numbers, making it difficult to assess how many teachers the union </w:t>
      </w:r>
      <w:proofErr w:type="gramStart"/>
      <w:r>
        <w:t>actually represents</w:t>
      </w:r>
      <w:proofErr w:type="gramEnd"/>
      <w:r>
        <w:t>. Philadelphia’s public school district has experienced broader enrollment declines over the past decade, yet dues revenue has climbed steadily—from $8.0 million in FY2020 to $9.7 million in FY2024. This raises the central accountability question: where is the increased revenue going? The 990 shows it flowing primarily to higher affiliate payments and compensation rather than expanded member services.</w:t>
      </w:r>
      <w:r>
        <w:rPr>
          <w:rStyle w:val="EndnoteReference"/>
        </w:rPr>
        <w:endnoteReference w:id="27"/>
      </w:r>
    </w:p>
    <w:p w14:paraId="5A7DECD2" w14:textId="4621EF84" w:rsidR="00C44AF5" w:rsidRDefault="00F25B3F">
      <w:pPr>
        <w:spacing w:after="200" w:line="276" w:lineRule="auto"/>
        <w:jc w:val="both"/>
      </w:pPr>
      <w:r>
        <w:t xml:space="preserve">Between FY2020 and FY2024, PFT’s expenses grew from $8.2 million to $9.1 million—an 11.2% increase. That growth outpaced inflation in several of those years, yet no corresponding increase in services is evident from the 990 filing. The absence of detailed program expenses means members cannot verify whether increased spending </w:t>
      </w:r>
      <w:proofErr w:type="gramStart"/>
      <w:r>
        <w:t>actually benefits</w:t>
      </w:r>
      <w:proofErr w:type="gramEnd"/>
      <w:r>
        <w:t xml:space="preserve"> them.</w:t>
      </w:r>
      <w:r>
        <w:rPr>
          <w:rStyle w:val="EndnoteReference"/>
        </w:rPr>
        <w:endnoteReference w:id="28"/>
      </w:r>
    </w:p>
    <w:p w14:paraId="2BF3279B" w14:textId="77777777" w:rsidR="00C44AF5" w:rsidRDefault="00F25B3F">
      <w:pPr>
        <w:spacing w:before="360" w:after="200"/>
      </w:pPr>
      <w:r>
        <w:rPr>
          <w:b/>
          <w:bCs/>
          <w:color w:val="8B0000"/>
          <w:sz w:val="26"/>
          <w:szCs w:val="26"/>
        </w:rPr>
        <w:t>YOUR RIGHT TO LEAVE</w:t>
      </w:r>
    </w:p>
    <w:p w14:paraId="2A432DB1" w14:textId="77777777" w:rsidR="00C44AF5" w:rsidRDefault="00F25B3F">
      <w:pPr>
        <w:spacing w:after="200" w:line="276" w:lineRule="auto"/>
        <w:jc w:val="both"/>
      </w:pPr>
      <w:r>
        <w:t>For Philadelphia public school teachers, the decision to join or leave a union has changed significantly since the Supreme Court's 2018 decision in Janus v. AFSCME. In that landmark ruling, the Court held that public-sector workers cannot be required to pay union dues or fees as a condition of employment. The Janus decision established that public-sector employees who choose not to join the union cannot be compelled to pay any fees whatsoever, not dues, not agency fees, nothing. Teachers who resign their union membership pay zero to PFT.</w:t>
      </w:r>
    </w:p>
    <w:p w14:paraId="6E3CA49B" w14:textId="77777777" w:rsidR="00C44AF5" w:rsidRDefault="00F25B3F">
      <w:pPr>
        <w:spacing w:after="200" w:line="276" w:lineRule="auto"/>
        <w:jc w:val="both"/>
      </w:pPr>
      <w:r>
        <w:t xml:space="preserve">Teachers who wish to stop paying dues can resign their PFT membership entirely. Under Janus, there is no “agency fee” or reduced-dues option; the pre-Janus framework of agency fee payers </w:t>
      </w:r>
      <w:r>
        <w:lastRenderedPageBreak/>
        <w:t>was eliminated by the ruling. Non-members pay nothing. This requires submitting a written resignation to the union. PFT is required by law to honor these requests, though the union has not prominently advertised the option to members. Many teachers remain unaware that they can resign and pay zero rather than full dues.</w:t>
      </w:r>
    </w:p>
    <w:p w14:paraId="2783CF30" w14:textId="77777777" w:rsidR="00C44AF5" w:rsidRDefault="71BE1087">
      <w:pPr>
        <w:spacing w:after="200" w:line="276" w:lineRule="auto"/>
        <w:jc w:val="both"/>
      </w:pPr>
      <w:r>
        <w:t>For teachers uncomfortable with PFT's political spending, governance opacity, high employee compensation, or affiliate payment structure, the Janus option provides a legal mechanism to end all financial support by resigning membership. Non-members retain all collective bargaining benefits under Pennsylvania law—they receive the same contract terms, salary schedules, and grievance protections—without paying any dues. PFT does not prominently advertise this right, and the union’s lack of transparency around how dues are spent makes it difficult for members to assess whether continued membership is worth the cost.</w:t>
      </w:r>
    </w:p>
    <w:p w14:paraId="2B1CF4D2" w14:textId="36F798D7" w:rsidR="71BE1087" w:rsidRDefault="71BE1087" w:rsidP="71BE1087">
      <w:pPr>
        <w:spacing w:after="200" w:line="276" w:lineRule="auto"/>
        <w:jc w:val="both"/>
      </w:pPr>
      <w:r w:rsidRPr="71BE1087">
        <w:t>To learn more about your rights under Janus, or for free legal assistance in exercising your right to leave, visit americansforfairtreatment.org or call (833) 969-FAIR.</w:t>
      </w:r>
    </w:p>
    <w:p w14:paraId="06B0281A" w14:textId="77777777" w:rsidR="00C44AF5" w:rsidRDefault="00C44AF5">
      <w:pPr>
        <w:pBdr>
          <w:bottom w:val="single" w:sz="6" w:space="1" w:color="666666"/>
        </w:pBdr>
        <w:spacing w:before="400" w:after="200"/>
      </w:pPr>
    </w:p>
    <w:p w14:paraId="2EFF21BF" w14:textId="77777777" w:rsidR="00C44AF5" w:rsidRDefault="00F25B3F">
      <w:pPr>
        <w:spacing w:before="200"/>
      </w:pPr>
      <w:r>
        <w:rPr>
          <w:i/>
          <w:iCs/>
          <w:color w:val="666666"/>
          <w:sz w:val="18"/>
          <w:szCs w:val="18"/>
        </w:rPr>
        <w:t>Data compiled from Philadelphia Federation of Teachers IRS Form 990 (EIN 23-1297835), fiscal year ending May 31, 2024; Pennsylvania Department of State Lobbying Disclosure Registration database; and state campaign finance filings via Americans for Fair Treatment State PAC Partisan Tracker. Additional disclosures from IRS Form 990 Schedule R (Related Organizations) and Part VII (Compensation of Officers).</w:t>
      </w:r>
    </w:p>
    <w:p w14:paraId="0CBE6DFD" w14:textId="77777777" w:rsidR="00C44AF5" w:rsidRDefault="00F25B3F">
      <w:r>
        <w:br w:type="page"/>
      </w:r>
    </w:p>
    <w:p w14:paraId="008E2EF9" w14:textId="77777777" w:rsidR="00C44AF5" w:rsidRDefault="00F25B3F">
      <w:pPr>
        <w:spacing w:after="300"/>
        <w:jc w:val="center"/>
      </w:pPr>
      <w:r>
        <w:rPr>
          <w:b/>
          <w:bCs/>
          <w:color w:val="8B0000"/>
          <w:sz w:val="32"/>
          <w:szCs w:val="32"/>
        </w:rPr>
        <w:lastRenderedPageBreak/>
        <w:t>NUMBERS TO HIGHLIGHT</w:t>
      </w:r>
    </w:p>
    <w:p w14:paraId="69ACB270" w14:textId="77777777" w:rsidR="00C44AF5" w:rsidRDefault="00F25B3F">
      <w:pPr>
        <w:spacing w:after="200"/>
        <w:jc w:val="center"/>
      </w:pPr>
      <w:r>
        <w:rPr>
          <w:color w:val="666666"/>
          <w:sz w:val="20"/>
          <w:szCs w:val="20"/>
        </w:rPr>
        <w:t>Key statistics from PFT's 2024 990 filing</w:t>
      </w:r>
    </w:p>
    <w:tbl>
      <w:tblPr>
        <w:tblW w:w="9360" w:type="dxa"/>
        <w:tblLayout w:type="fixed"/>
        <w:tblCellMar>
          <w:top w:w="100" w:type="dxa"/>
          <w:left w:w="160" w:type="dxa"/>
          <w:bottom w:w="100" w:type="dxa"/>
          <w:right w:w="160" w:type="dxa"/>
        </w:tblCellMar>
        <w:tblLook w:val="0000" w:firstRow="0" w:lastRow="0" w:firstColumn="0" w:lastColumn="0" w:noHBand="0" w:noVBand="0"/>
      </w:tblPr>
      <w:tblGrid>
        <w:gridCol w:w="3200"/>
        <w:gridCol w:w="6160"/>
      </w:tblGrid>
      <w:tr w:rsidR="00C44AF5" w14:paraId="03B50D35" w14:textId="77777777">
        <w:tc>
          <w:tcPr>
            <w:tcW w:w="3200" w:type="dxa"/>
            <w:tcBorders>
              <w:top w:val="single" w:sz="4" w:space="0" w:color="D9D9D9"/>
              <w:left w:val="single" w:sz="4" w:space="0" w:color="D9D9D9"/>
              <w:bottom w:val="single" w:sz="4" w:space="0" w:color="D9D9D9"/>
            </w:tcBorders>
            <w:shd w:val="clear" w:color="auto" w:fill="F7F7F7"/>
          </w:tcPr>
          <w:p w14:paraId="2146646F" w14:textId="77777777" w:rsidR="00C44AF5" w:rsidRDefault="00F25B3F">
            <w:pPr>
              <w:jc w:val="right"/>
            </w:pPr>
            <w:r>
              <w:rPr>
                <w:b/>
                <w:bCs/>
                <w:color w:val="C00000"/>
                <w:sz w:val="36"/>
                <w:szCs w:val="36"/>
              </w:rPr>
              <w:t>$3.9M</w:t>
            </w:r>
          </w:p>
        </w:tc>
        <w:tc>
          <w:tcPr>
            <w:tcW w:w="6160" w:type="dxa"/>
            <w:tcBorders>
              <w:top w:val="single" w:sz="4" w:space="0" w:color="D9D9D9"/>
              <w:bottom w:val="single" w:sz="4" w:space="0" w:color="D9D9D9"/>
              <w:right w:val="single" w:sz="4" w:space="0" w:color="D9D9D9"/>
            </w:tcBorders>
            <w:shd w:val="clear" w:color="auto" w:fill="F7F7F7"/>
            <w:vAlign w:val="center"/>
          </w:tcPr>
          <w:p w14:paraId="2487AAED" w14:textId="77777777" w:rsidR="00C44AF5" w:rsidRDefault="00F25B3F">
            <w:r>
              <w:t>Payments to Affiliates — 42.9% of PFT's total budget flows to parent unions (AFT, AFL-CIO) annually, removed from local union control</w:t>
            </w:r>
            <w:r>
              <w:rPr>
                <w:rStyle w:val="EndnoteReference"/>
              </w:rPr>
              <w:endnoteReference w:id="29"/>
            </w:r>
          </w:p>
        </w:tc>
      </w:tr>
    </w:tbl>
    <w:p w14:paraId="53C86C31" w14:textId="77777777" w:rsidR="00C44AF5" w:rsidRDefault="00C44AF5">
      <w:pPr>
        <w:spacing w:before="60" w:after="60"/>
      </w:pPr>
    </w:p>
    <w:tbl>
      <w:tblPr>
        <w:tblW w:w="9360" w:type="dxa"/>
        <w:tblLayout w:type="fixed"/>
        <w:tblCellMar>
          <w:top w:w="100" w:type="dxa"/>
          <w:left w:w="160" w:type="dxa"/>
          <w:bottom w:w="100" w:type="dxa"/>
          <w:right w:w="160" w:type="dxa"/>
        </w:tblCellMar>
        <w:tblLook w:val="0000" w:firstRow="0" w:lastRow="0" w:firstColumn="0" w:lastColumn="0" w:noHBand="0" w:noVBand="0"/>
      </w:tblPr>
      <w:tblGrid>
        <w:gridCol w:w="3200"/>
        <w:gridCol w:w="6160"/>
      </w:tblGrid>
      <w:tr w:rsidR="00C44AF5" w14:paraId="03FA9F64" w14:textId="77777777">
        <w:tc>
          <w:tcPr>
            <w:tcW w:w="3200" w:type="dxa"/>
            <w:tcBorders>
              <w:top w:val="single" w:sz="4" w:space="0" w:color="D9D9D9"/>
              <w:left w:val="single" w:sz="4" w:space="0" w:color="D9D9D9"/>
              <w:bottom w:val="single" w:sz="4" w:space="0" w:color="D9D9D9"/>
            </w:tcBorders>
            <w:shd w:val="clear" w:color="auto" w:fill="F7F7F7"/>
          </w:tcPr>
          <w:p w14:paraId="4AEB67A5" w14:textId="77777777" w:rsidR="00C44AF5" w:rsidRDefault="00F25B3F">
            <w:pPr>
              <w:jc w:val="right"/>
            </w:pPr>
            <w:r>
              <w:rPr>
                <w:b/>
                <w:bCs/>
                <w:color w:val="C00000"/>
                <w:sz w:val="36"/>
                <w:szCs w:val="36"/>
              </w:rPr>
              <w:t>$1.69M</w:t>
            </w:r>
          </w:p>
        </w:tc>
        <w:tc>
          <w:tcPr>
            <w:tcW w:w="6160" w:type="dxa"/>
            <w:tcBorders>
              <w:top w:val="single" w:sz="4" w:space="0" w:color="D9D9D9"/>
              <w:bottom w:val="single" w:sz="4" w:space="0" w:color="D9D9D9"/>
              <w:right w:val="single" w:sz="4" w:space="0" w:color="D9D9D9"/>
            </w:tcBorders>
            <w:shd w:val="clear" w:color="auto" w:fill="F7F7F7"/>
            <w:vAlign w:val="center"/>
          </w:tcPr>
          <w:p w14:paraId="43F40899" w14:textId="77777777" w:rsidR="00C44AF5" w:rsidRDefault="00F25B3F">
            <w:r>
              <w:t>Officer Compensation &amp; Employee Benefits — Combined officer salaries and employee benefits consumed 18.6% of PFT’s FY2024 budget; Mario DeClerico earned $159,624 in a staff position</w:t>
            </w:r>
            <w:r>
              <w:rPr>
                <w:rStyle w:val="EndnoteReference"/>
              </w:rPr>
              <w:endnoteReference w:id="30"/>
            </w:r>
          </w:p>
        </w:tc>
      </w:tr>
    </w:tbl>
    <w:p w14:paraId="40C16F95" w14:textId="77777777" w:rsidR="00C44AF5" w:rsidRDefault="00C44AF5">
      <w:pPr>
        <w:spacing w:before="60" w:after="60"/>
      </w:pPr>
    </w:p>
    <w:tbl>
      <w:tblPr>
        <w:tblW w:w="9360" w:type="dxa"/>
        <w:tblLayout w:type="fixed"/>
        <w:tblCellMar>
          <w:top w:w="100" w:type="dxa"/>
          <w:left w:w="160" w:type="dxa"/>
          <w:bottom w:w="100" w:type="dxa"/>
          <w:right w:w="160" w:type="dxa"/>
        </w:tblCellMar>
        <w:tblLook w:val="0000" w:firstRow="0" w:lastRow="0" w:firstColumn="0" w:lastColumn="0" w:noHBand="0" w:noVBand="0"/>
      </w:tblPr>
      <w:tblGrid>
        <w:gridCol w:w="3200"/>
        <w:gridCol w:w="6160"/>
      </w:tblGrid>
      <w:tr w:rsidR="00C44AF5" w14:paraId="759DF0E7" w14:textId="77777777">
        <w:tc>
          <w:tcPr>
            <w:tcW w:w="3200" w:type="dxa"/>
            <w:tcBorders>
              <w:top w:val="single" w:sz="4" w:space="0" w:color="D9D9D9"/>
              <w:left w:val="single" w:sz="4" w:space="0" w:color="D9D9D9"/>
              <w:bottom w:val="single" w:sz="4" w:space="0" w:color="D9D9D9"/>
            </w:tcBorders>
            <w:shd w:val="clear" w:color="auto" w:fill="F7F7F7"/>
          </w:tcPr>
          <w:p w14:paraId="57E28011" w14:textId="77777777" w:rsidR="00C44AF5" w:rsidRDefault="00F25B3F">
            <w:pPr>
              <w:jc w:val="right"/>
            </w:pPr>
            <w:r>
              <w:rPr>
                <w:b/>
                <w:bCs/>
                <w:color w:val="C00000"/>
                <w:sz w:val="36"/>
                <w:szCs w:val="36"/>
              </w:rPr>
              <w:t>81.6%</w:t>
            </w:r>
          </w:p>
        </w:tc>
        <w:tc>
          <w:tcPr>
            <w:tcW w:w="6160" w:type="dxa"/>
            <w:tcBorders>
              <w:top w:val="single" w:sz="4" w:space="0" w:color="D9D9D9"/>
              <w:bottom w:val="single" w:sz="4" w:space="0" w:color="D9D9D9"/>
              <w:right w:val="single" w:sz="4" w:space="0" w:color="D9D9D9"/>
            </w:tcBorders>
            <w:shd w:val="clear" w:color="auto" w:fill="F7F7F7"/>
            <w:vAlign w:val="center"/>
          </w:tcPr>
          <w:p w14:paraId="2757FD52" w14:textId="77777777" w:rsidR="00C44AF5" w:rsidRDefault="00F25B3F">
            <w:r>
              <w:t>Debt-to-Asset Ratio — PFT owes $14.1M to parent unions in Grants Payable</w:t>
            </w:r>
            <w:r>
              <w:rPr>
                <w:rStyle w:val="EndnoteReference"/>
              </w:rPr>
              <w:endnoteReference w:id="31"/>
            </w:r>
          </w:p>
        </w:tc>
      </w:tr>
    </w:tbl>
    <w:p w14:paraId="472FBE03" w14:textId="77777777" w:rsidR="00C44AF5" w:rsidRDefault="00C44AF5">
      <w:pPr>
        <w:spacing w:before="60" w:after="60"/>
      </w:pPr>
    </w:p>
    <w:tbl>
      <w:tblPr>
        <w:tblW w:w="9360" w:type="dxa"/>
        <w:tblLayout w:type="fixed"/>
        <w:tblCellMar>
          <w:top w:w="100" w:type="dxa"/>
          <w:left w:w="160" w:type="dxa"/>
          <w:bottom w:w="100" w:type="dxa"/>
          <w:right w:w="160" w:type="dxa"/>
        </w:tblCellMar>
        <w:tblLook w:val="0000" w:firstRow="0" w:lastRow="0" w:firstColumn="0" w:lastColumn="0" w:noHBand="0" w:noVBand="0"/>
      </w:tblPr>
      <w:tblGrid>
        <w:gridCol w:w="3200"/>
        <w:gridCol w:w="6160"/>
      </w:tblGrid>
      <w:tr w:rsidR="00C44AF5" w14:paraId="259A1E9D" w14:textId="77777777">
        <w:trPr>
          <w:trHeight w:val="790"/>
        </w:trPr>
        <w:tc>
          <w:tcPr>
            <w:tcW w:w="3200" w:type="dxa"/>
            <w:tcBorders>
              <w:top w:val="single" w:sz="4" w:space="0" w:color="D9D9D9"/>
              <w:left w:val="single" w:sz="4" w:space="0" w:color="D9D9D9"/>
              <w:bottom w:val="single" w:sz="4" w:space="0" w:color="D9D9D9"/>
            </w:tcBorders>
            <w:shd w:val="clear" w:color="auto" w:fill="F7F7F7"/>
          </w:tcPr>
          <w:p w14:paraId="0D9948BE" w14:textId="77777777" w:rsidR="00C44AF5" w:rsidRDefault="00F25B3F">
            <w:pPr>
              <w:jc w:val="right"/>
            </w:pPr>
            <w:r>
              <w:rPr>
                <w:b/>
                <w:bCs/>
                <w:color w:val="C00000"/>
                <w:sz w:val="36"/>
                <w:szCs w:val="36"/>
              </w:rPr>
              <w:t>$3.5M</w:t>
            </w:r>
          </w:p>
        </w:tc>
        <w:tc>
          <w:tcPr>
            <w:tcW w:w="6160" w:type="dxa"/>
            <w:tcBorders>
              <w:top w:val="single" w:sz="4" w:space="0" w:color="D9D9D9"/>
              <w:bottom w:val="single" w:sz="4" w:space="0" w:color="D9D9D9"/>
              <w:right w:val="single" w:sz="4" w:space="0" w:color="D9D9D9"/>
            </w:tcBorders>
            <w:shd w:val="clear" w:color="auto" w:fill="F7F7F7"/>
            <w:vAlign w:val="center"/>
          </w:tcPr>
          <w:p w14:paraId="4C8857B8" w14:textId="1A69175B" w:rsidR="00C44AF5" w:rsidRDefault="00F25B3F">
            <w:r>
              <w:t>Combined PAC Spending (2018-2025) — PFT and AFT/COPE deployed $3.5M in political contributions; 99.</w:t>
            </w:r>
            <w:r w:rsidR="00DC2716">
              <w:t>9</w:t>
            </w:r>
            <w:r>
              <w:t>% went to Democratic/liberal causes</w:t>
            </w:r>
            <w:r>
              <w:rPr>
                <w:rStyle w:val="EndnoteReference"/>
              </w:rPr>
              <w:endnoteReference w:id="32"/>
            </w:r>
          </w:p>
        </w:tc>
      </w:tr>
    </w:tbl>
    <w:p w14:paraId="24952EAD" w14:textId="77777777" w:rsidR="00C44AF5" w:rsidRDefault="00C44AF5">
      <w:pPr>
        <w:spacing w:before="60" w:after="60"/>
      </w:pPr>
    </w:p>
    <w:tbl>
      <w:tblPr>
        <w:tblW w:w="9360" w:type="dxa"/>
        <w:tblLayout w:type="fixed"/>
        <w:tblCellMar>
          <w:top w:w="100" w:type="dxa"/>
          <w:left w:w="160" w:type="dxa"/>
          <w:bottom w:w="100" w:type="dxa"/>
          <w:right w:w="160" w:type="dxa"/>
        </w:tblCellMar>
        <w:tblLook w:val="0000" w:firstRow="0" w:lastRow="0" w:firstColumn="0" w:lastColumn="0" w:noHBand="0" w:noVBand="0"/>
      </w:tblPr>
      <w:tblGrid>
        <w:gridCol w:w="3200"/>
        <w:gridCol w:w="6160"/>
      </w:tblGrid>
      <w:tr w:rsidR="00C44AF5" w14:paraId="6DCD6C7B" w14:textId="77777777">
        <w:tc>
          <w:tcPr>
            <w:tcW w:w="3200" w:type="dxa"/>
            <w:tcBorders>
              <w:top w:val="single" w:sz="4" w:space="0" w:color="D9D9D9"/>
              <w:left w:val="single" w:sz="4" w:space="0" w:color="D9D9D9"/>
              <w:bottom w:val="single" w:sz="4" w:space="0" w:color="D9D9D9"/>
            </w:tcBorders>
            <w:shd w:val="clear" w:color="auto" w:fill="F7F7F7"/>
          </w:tcPr>
          <w:p w14:paraId="0A2C5AD3" w14:textId="77777777" w:rsidR="00C44AF5" w:rsidRDefault="00F25B3F">
            <w:pPr>
              <w:jc w:val="right"/>
            </w:pPr>
            <w:r>
              <w:rPr>
                <w:b/>
                <w:bCs/>
                <w:color w:val="C00000"/>
                <w:sz w:val="36"/>
                <w:szCs w:val="36"/>
              </w:rPr>
              <w:t>$219.5K</w:t>
            </w:r>
          </w:p>
        </w:tc>
        <w:tc>
          <w:tcPr>
            <w:tcW w:w="6160" w:type="dxa"/>
            <w:tcBorders>
              <w:top w:val="single" w:sz="4" w:space="0" w:color="D9D9D9"/>
              <w:bottom w:val="single" w:sz="4" w:space="0" w:color="D9D9D9"/>
              <w:right w:val="single" w:sz="4" w:space="0" w:color="D9D9D9"/>
            </w:tcBorders>
            <w:shd w:val="clear" w:color="auto" w:fill="F7F7F7"/>
            <w:vAlign w:val="center"/>
          </w:tcPr>
          <w:p w14:paraId="62A4F810" w14:textId="77777777" w:rsidR="00C44AF5" w:rsidRDefault="00F25B3F">
            <w:r>
              <w:t>Single Candidate PAC Spending — PFT and AFT/COPE gave combined $219,500 to Helen Gym across her city council and 2023 mayoral campaigns (2018–2023)</w:t>
            </w:r>
            <w:r>
              <w:rPr>
                <w:rStyle w:val="EndnoteReference"/>
              </w:rPr>
              <w:endnoteReference w:id="33"/>
            </w:r>
          </w:p>
        </w:tc>
      </w:tr>
    </w:tbl>
    <w:p w14:paraId="7CC78F62" w14:textId="77777777" w:rsidR="00C44AF5" w:rsidRDefault="00C44AF5">
      <w:pPr>
        <w:spacing w:before="60" w:after="60"/>
      </w:pPr>
    </w:p>
    <w:tbl>
      <w:tblPr>
        <w:tblW w:w="9360" w:type="dxa"/>
        <w:tblLayout w:type="fixed"/>
        <w:tblCellMar>
          <w:top w:w="100" w:type="dxa"/>
          <w:left w:w="160" w:type="dxa"/>
          <w:bottom w:w="100" w:type="dxa"/>
          <w:right w:w="160" w:type="dxa"/>
        </w:tblCellMar>
        <w:tblLook w:val="0000" w:firstRow="0" w:lastRow="0" w:firstColumn="0" w:lastColumn="0" w:noHBand="0" w:noVBand="0"/>
      </w:tblPr>
      <w:tblGrid>
        <w:gridCol w:w="3200"/>
        <w:gridCol w:w="6160"/>
      </w:tblGrid>
      <w:tr w:rsidR="00C44AF5" w14:paraId="0649CF7E" w14:textId="77777777">
        <w:tc>
          <w:tcPr>
            <w:tcW w:w="3200" w:type="dxa"/>
            <w:tcBorders>
              <w:top w:val="single" w:sz="4" w:space="0" w:color="D9D9D9"/>
              <w:left w:val="single" w:sz="4" w:space="0" w:color="D9D9D9"/>
              <w:bottom w:val="single" w:sz="4" w:space="0" w:color="D9D9D9"/>
            </w:tcBorders>
            <w:shd w:val="clear" w:color="auto" w:fill="F7F7F7"/>
          </w:tcPr>
          <w:p w14:paraId="0ED4A79A" w14:textId="77777777" w:rsidR="00C44AF5" w:rsidRDefault="00F25B3F">
            <w:pPr>
              <w:jc w:val="right"/>
            </w:pPr>
            <w:r>
              <w:rPr>
                <w:b/>
                <w:bCs/>
                <w:color w:val="C00000"/>
                <w:sz w:val="36"/>
                <w:szCs w:val="36"/>
              </w:rPr>
              <w:t>61.5%</w:t>
            </w:r>
          </w:p>
        </w:tc>
        <w:tc>
          <w:tcPr>
            <w:tcW w:w="6160" w:type="dxa"/>
            <w:tcBorders>
              <w:top w:val="single" w:sz="4" w:space="0" w:color="D9D9D9"/>
              <w:bottom w:val="single" w:sz="4" w:space="0" w:color="D9D9D9"/>
              <w:right w:val="single" w:sz="4" w:space="0" w:color="D9D9D9"/>
            </w:tcBorders>
            <w:shd w:val="clear" w:color="auto" w:fill="F7F7F7"/>
            <w:vAlign w:val="center"/>
          </w:tcPr>
          <w:p w14:paraId="0F2E824F" w14:textId="77777777" w:rsidR="00C44AF5" w:rsidRDefault="00F25B3F">
            <w:r>
              <w:t>Self-Directed Spending — Over 61% of PFT’s budget ($3.89M affiliate payments plus $1.69M compensation/benefits) flows to union operations, not member services</w:t>
            </w:r>
            <w:r>
              <w:rPr>
                <w:rStyle w:val="EndnoteReference"/>
              </w:rPr>
              <w:endnoteReference w:id="34"/>
            </w:r>
          </w:p>
        </w:tc>
      </w:tr>
    </w:tbl>
    <w:p w14:paraId="58A9D07D" w14:textId="77777777" w:rsidR="00C44AF5" w:rsidRDefault="00C44AF5">
      <w:pPr>
        <w:spacing w:before="60" w:after="60"/>
      </w:pPr>
    </w:p>
    <w:tbl>
      <w:tblPr>
        <w:tblW w:w="9360" w:type="dxa"/>
        <w:tblLayout w:type="fixed"/>
        <w:tblCellMar>
          <w:top w:w="100" w:type="dxa"/>
          <w:left w:w="160" w:type="dxa"/>
          <w:bottom w:w="100" w:type="dxa"/>
          <w:right w:w="160" w:type="dxa"/>
        </w:tblCellMar>
        <w:tblLook w:val="0000" w:firstRow="0" w:lastRow="0" w:firstColumn="0" w:lastColumn="0" w:noHBand="0" w:noVBand="0"/>
      </w:tblPr>
      <w:tblGrid>
        <w:gridCol w:w="3200"/>
        <w:gridCol w:w="6160"/>
      </w:tblGrid>
      <w:tr w:rsidR="00C44AF5" w14:paraId="2D7A9B28" w14:textId="77777777">
        <w:tc>
          <w:tcPr>
            <w:tcW w:w="3200" w:type="dxa"/>
            <w:tcBorders>
              <w:top w:val="single" w:sz="4" w:space="0" w:color="D9D9D9"/>
              <w:left w:val="single" w:sz="4" w:space="0" w:color="D9D9D9"/>
              <w:bottom w:val="single" w:sz="4" w:space="0" w:color="D9D9D9"/>
            </w:tcBorders>
            <w:shd w:val="clear" w:color="auto" w:fill="F7F7F7"/>
          </w:tcPr>
          <w:p w14:paraId="05B042B3" w14:textId="77777777" w:rsidR="00C44AF5" w:rsidRDefault="00F25B3F">
            <w:pPr>
              <w:jc w:val="right"/>
            </w:pPr>
            <w:r>
              <w:rPr>
                <w:b/>
                <w:bCs/>
                <w:color w:val="C00000"/>
                <w:sz w:val="36"/>
                <w:szCs w:val="36"/>
              </w:rPr>
              <w:t>89.9%</w:t>
            </w:r>
          </w:p>
        </w:tc>
        <w:tc>
          <w:tcPr>
            <w:tcW w:w="6160" w:type="dxa"/>
            <w:tcBorders>
              <w:top w:val="single" w:sz="4" w:space="0" w:color="D9D9D9"/>
              <w:bottom w:val="single" w:sz="4" w:space="0" w:color="D9D9D9"/>
              <w:right w:val="single" w:sz="4" w:space="0" w:color="D9D9D9"/>
            </w:tcBorders>
            <w:shd w:val="clear" w:color="auto" w:fill="F7F7F7"/>
            <w:vAlign w:val="center"/>
          </w:tcPr>
          <w:p w14:paraId="55FB8719" w14:textId="77777777" w:rsidR="00C44AF5" w:rsidRDefault="00F25B3F">
            <w:r>
              <w:t>Dues Dependency — Member dues supply $9.66M of PFT's $10.74M revenue; the union is entirely dependent on sustained dues collection</w:t>
            </w:r>
            <w:r>
              <w:rPr>
                <w:rStyle w:val="EndnoteReference"/>
              </w:rPr>
              <w:endnoteReference w:id="35"/>
            </w:r>
          </w:p>
        </w:tc>
      </w:tr>
    </w:tbl>
    <w:p w14:paraId="539F1589" w14:textId="77777777" w:rsidR="00C44AF5" w:rsidRDefault="00C44AF5">
      <w:pPr>
        <w:spacing w:before="60" w:after="60"/>
      </w:pPr>
    </w:p>
    <w:tbl>
      <w:tblPr>
        <w:tblW w:w="9360" w:type="dxa"/>
        <w:tblLayout w:type="fixed"/>
        <w:tblCellMar>
          <w:top w:w="100" w:type="dxa"/>
          <w:left w:w="160" w:type="dxa"/>
          <w:bottom w:w="100" w:type="dxa"/>
          <w:right w:w="160" w:type="dxa"/>
        </w:tblCellMar>
        <w:tblLook w:val="0000" w:firstRow="0" w:lastRow="0" w:firstColumn="0" w:lastColumn="0" w:noHBand="0" w:noVBand="0"/>
      </w:tblPr>
      <w:tblGrid>
        <w:gridCol w:w="3200"/>
        <w:gridCol w:w="6160"/>
      </w:tblGrid>
      <w:tr w:rsidR="00C44AF5" w14:paraId="2565A833" w14:textId="77777777">
        <w:tc>
          <w:tcPr>
            <w:tcW w:w="3200" w:type="dxa"/>
            <w:tcBorders>
              <w:top w:val="single" w:sz="4" w:space="0" w:color="D9D9D9"/>
              <w:left w:val="single" w:sz="4" w:space="0" w:color="D9D9D9"/>
              <w:bottom w:val="single" w:sz="4" w:space="0" w:color="D9D9D9"/>
            </w:tcBorders>
            <w:shd w:val="clear" w:color="auto" w:fill="F7F7F7"/>
          </w:tcPr>
          <w:p w14:paraId="190A17F7" w14:textId="77777777" w:rsidR="00C44AF5" w:rsidRDefault="00F25B3F">
            <w:pPr>
              <w:jc w:val="right"/>
            </w:pPr>
            <w:r>
              <w:rPr>
                <w:b/>
                <w:bCs/>
                <w:color w:val="C00000"/>
                <w:sz w:val="36"/>
                <w:szCs w:val="36"/>
              </w:rPr>
              <w:t>$159.6K</w:t>
            </w:r>
          </w:p>
        </w:tc>
        <w:tc>
          <w:tcPr>
            <w:tcW w:w="6160" w:type="dxa"/>
            <w:tcBorders>
              <w:top w:val="single" w:sz="4" w:space="0" w:color="D9D9D9"/>
              <w:bottom w:val="single" w:sz="4" w:space="0" w:color="D9D9D9"/>
              <w:right w:val="single" w:sz="4" w:space="0" w:color="D9D9D9"/>
            </w:tcBorders>
            <w:shd w:val="clear" w:color="auto" w:fill="F7F7F7"/>
            <w:vAlign w:val="center"/>
          </w:tcPr>
          <w:p w14:paraId="3346277D" w14:textId="77777777" w:rsidR="00C44AF5" w:rsidRDefault="00F25B3F">
            <w:r>
              <w:t>Highest Staff Salary — Mario DeClerico earns more than 2.3x the average Philadelphia teacher salary, financed by dues from teachers earning far less</w:t>
            </w:r>
          </w:p>
        </w:tc>
      </w:tr>
    </w:tbl>
    <w:p w14:paraId="47F2726F" w14:textId="77777777" w:rsidR="00C44AF5" w:rsidRDefault="00C44AF5">
      <w:pPr>
        <w:spacing w:before="60" w:after="60"/>
      </w:pPr>
    </w:p>
    <w:tbl>
      <w:tblPr>
        <w:tblW w:w="9360" w:type="dxa"/>
        <w:tblLayout w:type="fixed"/>
        <w:tblCellMar>
          <w:top w:w="100" w:type="dxa"/>
          <w:left w:w="160" w:type="dxa"/>
          <w:bottom w:w="100" w:type="dxa"/>
          <w:right w:w="160" w:type="dxa"/>
        </w:tblCellMar>
        <w:tblLook w:val="0000" w:firstRow="0" w:lastRow="0" w:firstColumn="0" w:lastColumn="0" w:noHBand="0" w:noVBand="0"/>
      </w:tblPr>
      <w:tblGrid>
        <w:gridCol w:w="3200"/>
        <w:gridCol w:w="6160"/>
      </w:tblGrid>
      <w:tr w:rsidR="00C44AF5" w14:paraId="7111F57F" w14:textId="77777777">
        <w:tc>
          <w:tcPr>
            <w:tcW w:w="3200" w:type="dxa"/>
            <w:tcBorders>
              <w:top w:val="single" w:sz="4" w:space="0" w:color="D9D9D9"/>
              <w:left w:val="single" w:sz="4" w:space="0" w:color="D9D9D9"/>
              <w:bottom w:val="single" w:sz="4" w:space="0" w:color="D9D9D9"/>
            </w:tcBorders>
            <w:shd w:val="clear" w:color="auto" w:fill="F7F7F7"/>
          </w:tcPr>
          <w:p w14:paraId="3B1CF839" w14:textId="77777777" w:rsidR="00C44AF5" w:rsidRDefault="00F25B3F">
            <w:pPr>
              <w:jc w:val="right"/>
            </w:pPr>
            <w:r>
              <w:rPr>
                <w:b/>
                <w:bCs/>
                <w:color w:val="C00000"/>
                <w:sz w:val="36"/>
                <w:szCs w:val="36"/>
              </w:rPr>
              <w:lastRenderedPageBreak/>
              <w:t>85+</w:t>
            </w:r>
          </w:p>
        </w:tc>
        <w:tc>
          <w:tcPr>
            <w:tcW w:w="6160" w:type="dxa"/>
            <w:tcBorders>
              <w:top w:val="single" w:sz="4" w:space="0" w:color="D9D9D9"/>
              <w:bottom w:val="single" w:sz="4" w:space="0" w:color="D9D9D9"/>
              <w:right w:val="single" w:sz="4" w:space="0" w:color="D9D9D9"/>
            </w:tcBorders>
            <w:shd w:val="clear" w:color="auto" w:fill="F7F7F7"/>
            <w:vAlign w:val="center"/>
          </w:tcPr>
          <w:p w14:paraId="616B6BC3" w14:textId="77777777" w:rsidR="00C44AF5" w:rsidRDefault="00F25B3F">
            <w:r>
              <w:t>Bellevue Strategies Client Count — PFT's lobbying firm simultaneously represents 85+ clients including Amazon, Comcast, Uber, and gun control organizations</w:t>
            </w:r>
          </w:p>
        </w:tc>
      </w:tr>
    </w:tbl>
    <w:p w14:paraId="59040B49" w14:textId="77777777" w:rsidR="00C44AF5" w:rsidRDefault="00C44AF5">
      <w:pPr>
        <w:spacing w:before="60" w:after="60"/>
      </w:pPr>
    </w:p>
    <w:tbl>
      <w:tblPr>
        <w:tblW w:w="9360" w:type="dxa"/>
        <w:tblLayout w:type="fixed"/>
        <w:tblCellMar>
          <w:top w:w="100" w:type="dxa"/>
          <w:left w:w="160" w:type="dxa"/>
          <w:bottom w:w="100" w:type="dxa"/>
          <w:right w:w="160" w:type="dxa"/>
        </w:tblCellMar>
        <w:tblLook w:val="0000" w:firstRow="0" w:lastRow="0" w:firstColumn="0" w:lastColumn="0" w:noHBand="0" w:noVBand="0"/>
      </w:tblPr>
      <w:tblGrid>
        <w:gridCol w:w="3200"/>
        <w:gridCol w:w="6160"/>
      </w:tblGrid>
      <w:tr w:rsidR="00C44AF5" w14:paraId="4548F176" w14:textId="77777777">
        <w:tc>
          <w:tcPr>
            <w:tcW w:w="3200" w:type="dxa"/>
            <w:tcBorders>
              <w:top w:val="single" w:sz="4" w:space="0" w:color="D9D9D9"/>
              <w:left w:val="single" w:sz="4" w:space="0" w:color="D9D9D9"/>
              <w:bottom w:val="single" w:sz="4" w:space="0" w:color="D9D9D9"/>
            </w:tcBorders>
            <w:shd w:val="clear" w:color="auto" w:fill="F7F7F7"/>
          </w:tcPr>
          <w:p w14:paraId="0B31DCFE" w14:textId="77777777" w:rsidR="00C44AF5" w:rsidRDefault="00F25B3F">
            <w:pPr>
              <w:jc w:val="right"/>
            </w:pPr>
            <w:r>
              <w:rPr>
                <w:b/>
                <w:bCs/>
                <w:color w:val="C00000"/>
                <w:sz w:val="36"/>
                <w:szCs w:val="36"/>
              </w:rPr>
              <w:t>$3.27M</w:t>
            </w:r>
          </w:p>
        </w:tc>
        <w:tc>
          <w:tcPr>
            <w:tcW w:w="6160" w:type="dxa"/>
            <w:tcBorders>
              <w:top w:val="single" w:sz="4" w:space="0" w:color="D9D9D9"/>
              <w:bottom w:val="single" w:sz="4" w:space="0" w:color="D9D9D9"/>
              <w:right w:val="single" w:sz="4" w:space="0" w:color="D9D9D9"/>
            </w:tcBorders>
            <w:shd w:val="clear" w:color="auto" w:fill="F7F7F7"/>
            <w:vAlign w:val="center"/>
          </w:tcPr>
          <w:p w14:paraId="12F7BE37" w14:textId="1B42886B" w:rsidR="00C44AF5" w:rsidRDefault="00F25B3F">
            <w:r>
              <w:t>Total Personnel Costs — Part I Line 15 reports $3.3 million in total compensation (36.1% of budget); majority goes to affiliates and compensation, not representation</w:t>
            </w:r>
            <w:r>
              <w:rPr>
                <w:rStyle w:val="EndnoteReference"/>
              </w:rPr>
              <w:endnoteReference w:id="36"/>
            </w:r>
          </w:p>
        </w:tc>
      </w:tr>
    </w:tbl>
    <w:p w14:paraId="1A641F86" w14:textId="77777777" w:rsidR="00C44AF5" w:rsidRDefault="00C44AF5">
      <w:pPr>
        <w:spacing w:before="60" w:after="60"/>
      </w:pPr>
    </w:p>
    <w:p w14:paraId="0E1A217D" w14:textId="77777777" w:rsidR="00C44AF5" w:rsidRDefault="00C44AF5"/>
    <w:sectPr w:rsidR="00C44AF5">
      <w:headerReference w:type="even" r:id="rId6"/>
      <w:headerReference w:type="default" r:id="rId7"/>
      <w:footerReference w:type="even" r:id="rId8"/>
      <w:footerReference w:type="default" r:id="rId9"/>
      <w:headerReference w:type="first" r:id="rId10"/>
      <w:footerReference w:type="first" r:id="rId11"/>
      <w:endnotePr>
        <w:pos w:val="sectEnd"/>
        <w:numFmt w:val="decimal"/>
      </w:endnotePr>
      <w:pgSz w:w="12240" w:h="15840"/>
      <w:pgMar w:top="1440" w:right="1440" w:bottom="1440"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78425" w14:textId="77777777" w:rsidR="004313A3" w:rsidRDefault="004313A3">
      <w:r>
        <w:separator/>
      </w:r>
    </w:p>
  </w:endnote>
  <w:endnote w:type="continuationSeparator" w:id="0">
    <w:p w14:paraId="58847481" w14:textId="77777777" w:rsidR="004313A3" w:rsidRDefault="004313A3">
      <w:r>
        <w:continuationSeparator/>
      </w:r>
    </w:p>
  </w:endnote>
  <w:endnote w:id="1">
    <w:p w14:paraId="3E7778FD" w14:textId="77777777" w:rsidR="00C44AF5" w:rsidRDefault="00F25B3F">
      <w:pPr>
        <w:pStyle w:val="EndnoteText"/>
      </w:pPr>
      <w:r>
        <w:rPr>
          <w:rStyle w:val="EndnoteCharacters"/>
        </w:rPr>
        <w:endnoteRef/>
      </w:r>
      <w:r>
        <w:rPr>
          <w:color w:val="666666"/>
          <w:sz w:val="16"/>
          <w:szCs w:val="16"/>
        </w:rPr>
        <w:t xml:space="preserve"> IRS Form 990 (EIN 23-1297835), Part I (Revenue and Expenses), fiscal year ending May 31, 2024.</w:t>
      </w:r>
    </w:p>
  </w:endnote>
  <w:endnote w:id="2">
    <w:p w14:paraId="086960B3" w14:textId="77777777" w:rsidR="00C44AF5" w:rsidRDefault="00F25B3F">
      <w:pPr>
        <w:pStyle w:val="EndnoteText"/>
      </w:pPr>
      <w:r>
        <w:rPr>
          <w:rStyle w:val="EndnoteCharacters"/>
        </w:rPr>
        <w:endnoteRef/>
      </w:r>
      <w:r>
        <w:rPr>
          <w:color w:val="666666"/>
          <w:sz w:val="16"/>
          <w:szCs w:val="16"/>
        </w:rPr>
        <w:t xml:space="preserve"> IRS Form 990 (EIN 23-1297835), Part IX (Statement of Functional Expenses), fiscal year ending May 31, 2024.</w:t>
      </w:r>
    </w:p>
  </w:endnote>
  <w:endnote w:id="3">
    <w:p w14:paraId="4DAF5DE3" w14:textId="77777777" w:rsidR="00C44AF5" w:rsidRDefault="00F25B3F">
      <w:pPr>
        <w:pStyle w:val="EndnoteText"/>
      </w:pPr>
      <w:r>
        <w:rPr>
          <w:rStyle w:val="EndnoteCharacters"/>
        </w:rPr>
        <w:endnoteRef/>
      </w:r>
      <w:r>
        <w:rPr>
          <w:color w:val="666666"/>
          <w:sz w:val="16"/>
          <w:szCs w:val="16"/>
        </w:rPr>
        <w:t xml:space="preserve"> IRS Form 990 (EIN 23-1297835), Part X (Balance Sheet), Line 19 (Grants Payable), fiscal year ending May 31, 2024.</w:t>
      </w:r>
    </w:p>
  </w:endnote>
  <w:endnote w:id="4">
    <w:p w14:paraId="5BB1A368" w14:textId="77777777" w:rsidR="00C44AF5" w:rsidRDefault="00F25B3F">
      <w:pPr>
        <w:pStyle w:val="EndnoteText"/>
      </w:pPr>
      <w:r>
        <w:rPr>
          <w:rStyle w:val="EndnoteCharacters"/>
        </w:rPr>
        <w:endnoteRef/>
      </w:r>
      <w:r>
        <w:rPr>
          <w:color w:val="666666"/>
          <w:sz w:val="16"/>
          <w:szCs w:val="16"/>
        </w:rPr>
        <w:t xml:space="preserve"> State campaign finance filings via state-pac-widgets.vercel.app.</w:t>
      </w:r>
    </w:p>
  </w:endnote>
  <w:endnote w:id="5">
    <w:p w14:paraId="48D6B3BC" w14:textId="77777777" w:rsidR="00C44AF5" w:rsidRDefault="00F25B3F">
      <w:pPr>
        <w:pStyle w:val="EndnoteText"/>
      </w:pPr>
      <w:r>
        <w:rPr>
          <w:rStyle w:val="EndnoteCharacters"/>
        </w:rPr>
        <w:endnoteRef/>
      </w:r>
      <w:r>
        <w:rPr>
          <w:color w:val="666666"/>
          <w:sz w:val="16"/>
          <w:szCs w:val="16"/>
        </w:rPr>
        <w:t xml:space="preserve"> Philadelphia City Council Bill No. 190555 (Helen Gym, prime sponsor) and Philadelphia Commission on Human Relations regulations effective July 11, 2022.</w:t>
      </w:r>
    </w:p>
  </w:endnote>
  <w:endnote w:id="6">
    <w:p w14:paraId="4D242594" w14:textId="77777777" w:rsidR="00C44AF5" w:rsidRDefault="00F25B3F">
      <w:pPr>
        <w:pStyle w:val="EndnoteText"/>
      </w:pPr>
      <w:r>
        <w:rPr>
          <w:rStyle w:val="EndnoteCharacters"/>
        </w:rPr>
        <w:endnoteRef/>
      </w:r>
      <w:r>
        <w:rPr>
          <w:color w:val="666666"/>
          <w:sz w:val="16"/>
          <w:szCs w:val="16"/>
        </w:rPr>
        <w:t xml:space="preserve"> Pennsylvania Department of State, Lobbying Disclosure Registration database (palobbyingservices.pa.gov); registered principal-and-lobbyist relationships and client rosters for Bellevue Strategies, LLC.</w:t>
      </w:r>
    </w:p>
  </w:endnote>
  <w:endnote w:id="7">
    <w:p w14:paraId="7EC28830" w14:textId="77777777" w:rsidR="00C44AF5" w:rsidRDefault="00F25B3F">
      <w:pPr>
        <w:pStyle w:val="EndnoteText"/>
      </w:pPr>
      <w:r>
        <w:rPr>
          <w:rStyle w:val="EndnoteCharacters"/>
        </w:rPr>
        <w:endnoteRef/>
      </w:r>
      <w:r>
        <w:rPr>
          <w:color w:val="666666"/>
          <w:sz w:val="16"/>
          <w:szCs w:val="16"/>
        </w:rPr>
        <w:t xml:space="preserve"> IRS Form 990 (EIN 23-1297835), Part X (Balance Sheet), fiscal year ending May 31, 2024.</w:t>
      </w:r>
    </w:p>
  </w:endnote>
  <w:endnote w:id="8">
    <w:p w14:paraId="07EF8916" w14:textId="77777777" w:rsidR="00C44AF5" w:rsidRDefault="00F25B3F">
      <w:pPr>
        <w:pStyle w:val="EndnoteText"/>
      </w:pPr>
      <w:r>
        <w:rPr>
          <w:rStyle w:val="EndnoteCharacters"/>
        </w:rPr>
        <w:endnoteRef/>
      </w:r>
      <w:r>
        <w:rPr>
          <w:color w:val="666666"/>
          <w:sz w:val="16"/>
          <w:szCs w:val="16"/>
        </w:rPr>
        <w:t xml:space="preserve"> IRS Form 990 (EIN 23-1297835), Part IX (Statement of Functional Expenses), Line 21 (Payments to Affiliates), fiscal year ending May 31, 2024.</w:t>
      </w:r>
    </w:p>
  </w:endnote>
  <w:endnote w:id="9">
    <w:p w14:paraId="0B6AB6D6" w14:textId="77777777" w:rsidR="00C44AF5" w:rsidRDefault="00F25B3F">
      <w:pPr>
        <w:pStyle w:val="EndnoteText"/>
      </w:pPr>
      <w:r>
        <w:rPr>
          <w:rStyle w:val="EndnoteCharacters"/>
        </w:rPr>
        <w:endnoteRef/>
      </w:r>
      <w:r>
        <w:rPr>
          <w:color w:val="666666"/>
          <w:sz w:val="16"/>
          <w:szCs w:val="16"/>
        </w:rPr>
        <w:t xml:space="preserve"> IRS Form 990 (EIN 23-1297835), Part IX (Statement of Functional Expenses), Line 9 (Other Employee Benefits), fiscal year ending May 31, 2024.</w:t>
      </w:r>
    </w:p>
  </w:endnote>
  <w:endnote w:id="10">
    <w:p w14:paraId="17F4D8CE" w14:textId="77777777" w:rsidR="00C44AF5" w:rsidRDefault="00F25B3F">
      <w:pPr>
        <w:pStyle w:val="EndnoteText"/>
      </w:pPr>
      <w:r>
        <w:rPr>
          <w:rStyle w:val="EndnoteCharacters"/>
        </w:rPr>
        <w:endnoteRef/>
      </w:r>
      <w:r>
        <w:rPr>
          <w:color w:val="666666"/>
          <w:sz w:val="16"/>
          <w:szCs w:val="16"/>
        </w:rPr>
        <w:t xml:space="preserve"> IRS Form 990 (EIN 23-1297835), Part IX (Statement of Functional Expenses), Line 20 (Interest Expense), fiscal year ending May 31, 2024.</w:t>
      </w:r>
    </w:p>
  </w:endnote>
  <w:endnote w:id="11">
    <w:p w14:paraId="272E1EFE" w14:textId="77777777" w:rsidR="00C44AF5" w:rsidRDefault="00F25B3F">
      <w:pPr>
        <w:pStyle w:val="EndnoteText"/>
      </w:pPr>
      <w:r>
        <w:rPr>
          <w:rStyle w:val="EndnoteCharacters"/>
        </w:rPr>
        <w:endnoteRef/>
      </w:r>
      <w:r>
        <w:rPr>
          <w:color w:val="666666"/>
          <w:sz w:val="16"/>
          <w:szCs w:val="16"/>
        </w:rPr>
        <w:t xml:space="preserve"> IRS Form 990 (EIN 23-1297835), Part IX (Statement of Functional Expenses), Line 22 (Depreciation), fiscal year ending May 31, 2024.</w:t>
      </w:r>
    </w:p>
  </w:endnote>
  <w:endnote w:id="12">
    <w:p w14:paraId="2F67CD0B" w14:textId="77777777" w:rsidR="00C44AF5" w:rsidRDefault="00F25B3F">
      <w:pPr>
        <w:pStyle w:val="EndnoteText"/>
      </w:pPr>
      <w:r>
        <w:rPr>
          <w:rStyle w:val="EndnoteCharacters"/>
        </w:rPr>
        <w:endnoteRef/>
      </w:r>
      <w:r>
        <w:rPr>
          <w:color w:val="666666"/>
          <w:sz w:val="16"/>
          <w:szCs w:val="16"/>
        </w:rPr>
        <w:t xml:space="preserve"> IRS Form 990 (EIN 23-1297835), Part IX (Statement of Functional Expenses), Line 24a (Other Expenses), fiscal year ending May 31, 2024.</w:t>
      </w:r>
    </w:p>
  </w:endnote>
  <w:endnote w:id="13">
    <w:p w14:paraId="3C31DF83" w14:textId="77777777" w:rsidR="00C44AF5" w:rsidRDefault="00F25B3F">
      <w:pPr>
        <w:pStyle w:val="EndnoteText"/>
      </w:pPr>
      <w:r>
        <w:rPr>
          <w:rStyle w:val="EndnoteCharacters"/>
        </w:rPr>
        <w:endnoteRef/>
      </w:r>
      <w:r>
        <w:rPr>
          <w:color w:val="666666"/>
          <w:sz w:val="16"/>
          <w:szCs w:val="16"/>
        </w:rPr>
        <w:t xml:space="preserve"> State campaign finance filings via state-pac-widgets.vercel.app, 2018–2025 cycles.</w:t>
      </w:r>
    </w:p>
  </w:endnote>
  <w:endnote w:id="14">
    <w:p w14:paraId="60586720" w14:textId="77777777" w:rsidR="00C44AF5" w:rsidRDefault="00F25B3F">
      <w:pPr>
        <w:pStyle w:val="EndnoteText"/>
      </w:pPr>
      <w:r>
        <w:rPr>
          <w:rStyle w:val="EndnoteCharacters"/>
        </w:rPr>
        <w:endnoteRef/>
      </w:r>
      <w:r>
        <w:rPr>
          <w:color w:val="666666"/>
          <w:sz w:val="16"/>
          <w:szCs w:val="16"/>
        </w:rPr>
        <w:t xml:space="preserve"> Federal Election Commission filings for AFT-COPE (Committee ID C00028860), 2018–2025 cycles.</w:t>
      </w:r>
    </w:p>
  </w:endnote>
  <w:endnote w:id="15">
    <w:p w14:paraId="3A791BDB" w14:textId="77777777" w:rsidR="00C44AF5" w:rsidRDefault="00F25B3F">
      <w:pPr>
        <w:pStyle w:val="EndnoteText"/>
      </w:pPr>
      <w:r>
        <w:rPr>
          <w:rStyle w:val="EndnoteCharacters"/>
        </w:rPr>
        <w:endnoteRef/>
      </w:r>
      <w:r>
        <w:rPr>
          <w:color w:val="666666"/>
          <w:sz w:val="16"/>
          <w:szCs w:val="16"/>
        </w:rPr>
        <w:t xml:space="preserve"> Pennsylvania Department of State, Lobbying Disclosure Registration database (palobbyingservices.pa.gov).</w:t>
      </w:r>
    </w:p>
  </w:endnote>
  <w:endnote w:id="16">
    <w:p w14:paraId="532E633E" w14:textId="77777777" w:rsidR="00C44AF5" w:rsidRDefault="00F25B3F">
      <w:pPr>
        <w:pStyle w:val="EndnoteText"/>
      </w:pPr>
      <w:r>
        <w:rPr>
          <w:rStyle w:val="EndnoteCharacters"/>
        </w:rPr>
        <w:endnoteRef/>
      </w:r>
      <w:r>
        <w:rPr>
          <w:color w:val="666666"/>
          <w:sz w:val="16"/>
          <w:szCs w:val="16"/>
        </w:rPr>
        <w:t xml:space="preserve"> "Council Passes Councilmember Gym's Bills Expanding Rights for Trans and Nonbinary Philadelphians," Philadelphia City Council; "City Expands Protections for Transgender and Gender Nonconforming Youth," City of Philadelphia Office of LGBTQ+ Affairs (July 19, 2022).</w:t>
      </w:r>
    </w:p>
  </w:endnote>
  <w:endnote w:id="17">
    <w:p w14:paraId="35A234B0" w14:textId="77777777" w:rsidR="00C44AF5" w:rsidRDefault="00F25B3F">
      <w:pPr>
        <w:pStyle w:val="EndnoteText"/>
      </w:pPr>
      <w:r>
        <w:rPr>
          <w:rStyle w:val="EndnoteCharacters"/>
        </w:rPr>
        <w:endnoteRef/>
      </w:r>
      <w:r>
        <w:rPr>
          <w:color w:val="666666"/>
          <w:sz w:val="16"/>
          <w:szCs w:val="16"/>
        </w:rPr>
        <w:t xml:space="preserve"> Philadelphia Code §9-1102 (definitions of protected classes, including "gender identity" and "gender non-conformity"), as amended; Philadelphia City Council legislative history on LGBTQ public-accommodations and gender-neutral facilities measures; City of Philadelphia Office of LGBT Affairs announcements (2013 single-occupancy / gender-neutral restroom requirement for city facilities).</w:t>
      </w:r>
    </w:p>
  </w:endnote>
  <w:endnote w:id="18">
    <w:p w14:paraId="2ACC24BF" w14:textId="77777777" w:rsidR="00C44AF5" w:rsidRDefault="00F25B3F">
      <w:pPr>
        <w:pStyle w:val="EndnoteText"/>
      </w:pPr>
      <w:r>
        <w:rPr>
          <w:rStyle w:val="EndnoteCharacters"/>
        </w:rPr>
        <w:endnoteRef/>
      </w:r>
      <w:r>
        <w:rPr>
          <w:color w:val="666666"/>
          <w:sz w:val="16"/>
          <w:szCs w:val="16"/>
        </w:rPr>
        <w:t xml:space="preserve"> Pennsylvania Department of State, Lobbying Disclosure Registration database (palobbyingservices.pa.gov).</w:t>
      </w:r>
    </w:p>
  </w:endnote>
  <w:endnote w:id="19">
    <w:p w14:paraId="74AA80EF" w14:textId="77777777" w:rsidR="00C44AF5" w:rsidRDefault="00F25B3F">
      <w:pPr>
        <w:pStyle w:val="EndnoteText"/>
      </w:pPr>
      <w:r>
        <w:rPr>
          <w:rStyle w:val="EndnoteCharacters"/>
        </w:rPr>
        <w:endnoteRef/>
      </w:r>
      <w:r>
        <w:rPr>
          <w:color w:val="666666"/>
          <w:sz w:val="16"/>
          <w:szCs w:val="16"/>
        </w:rPr>
        <w:t xml:space="preserve"> Pennsylvania Department of State, Lobbying Disclosure Registration database (palobbyingservices.pa.gov).</w:t>
      </w:r>
    </w:p>
  </w:endnote>
  <w:endnote w:id="20">
    <w:p w14:paraId="4C2150F4" w14:textId="77777777" w:rsidR="00C44AF5" w:rsidRDefault="00F25B3F">
      <w:pPr>
        <w:pStyle w:val="EndnoteText"/>
      </w:pPr>
      <w:r>
        <w:rPr>
          <w:rStyle w:val="EndnoteCharacters"/>
        </w:rPr>
        <w:endnoteRef/>
      </w:r>
      <w:r>
        <w:rPr>
          <w:color w:val="666666"/>
          <w:sz w:val="16"/>
          <w:szCs w:val="16"/>
        </w:rPr>
        <w:t xml:space="preserve"> IRS Form 990 (EIN 23-1297835), Part VII (Compensation of Officers, Directors, Trustees, and Key Employees), fiscal year ending May 31, 2024.</w:t>
      </w:r>
    </w:p>
  </w:endnote>
  <w:endnote w:id="21">
    <w:p w14:paraId="352B6B58" w14:textId="77777777" w:rsidR="00C44AF5" w:rsidRDefault="00F25B3F">
      <w:pPr>
        <w:pStyle w:val="EndnoteText"/>
      </w:pPr>
      <w:r>
        <w:rPr>
          <w:rStyle w:val="EndnoteCharacters"/>
        </w:rPr>
        <w:endnoteRef/>
      </w:r>
      <w:r>
        <w:rPr>
          <w:color w:val="666666"/>
          <w:sz w:val="16"/>
          <w:szCs w:val="16"/>
        </w:rPr>
        <w:t xml:space="preserve"> IRS Form 990 (EIN 23-1297835), Part VII (Compensation of Officers, Directors, Trustees, and Key Employees), fiscal year ending May 31, 2024.</w:t>
      </w:r>
    </w:p>
  </w:endnote>
  <w:endnote w:id="22">
    <w:p w14:paraId="5DC1EC7A" w14:textId="77777777" w:rsidR="00C44AF5" w:rsidRDefault="00F25B3F">
      <w:pPr>
        <w:pStyle w:val="EndnoteText"/>
      </w:pPr>
      <w:r>
        <w:rPr>
          <w:rStyle w:val="EndnoteCharacters"/>
        </w:rPr>
        <w:endnoteRef/>
      </w:r>
      <w:r>
        <w:rPr>
          <w:color w:val="666666"/>
          <w:sz w:val="16"/>
          <w:szCs w:val="16"/>
        </w:rPr>
        <w:t xml:space="preserve"> IRS Form 990 (EIN 23-1297835), Part VI (Governance), Section B Line 12 (conflict of interest policy), fiscal year ending May 31, 2024.</w:t>
      </w:r>
    </w:p>
  </w:endnote>
  <w:endnote w:id="23">
    <w:p w14:paraId="7399F888" w14:textId="77777777" w:rsidR="00C44AF5" w:rsidRDefault="00F25B3F">
      <w:pPr>
        <w:pStyle w:val="EndnoteText"/>
      </w:pPr>
      <w:r>
        <w:rPr>
          <w:rStyle w:val="EndnoteCharacters"/>
        </w:rPr>
        <w:endnoteRef/>
      </w:r>
      <w:r>
        <w:rPr>
          <w:color w:val="666666"/>
          <w:sz w:val="16"/>
          <w:szCs w:val="16"/>
        </w:rPr>
        <w:t xml:space="preserve"> IRS Form 990 (EIN 23-1297835), Parts I and IX, fiscal years ending May 31, </w:t>
      </w:r>
      <w:proofErr w:type="gramStart"/>
      <w:r>
        <w:rPr>
          <w:color w:val="666666"/>
          <w:sz w:val="16"/>
          <w:szCs w:val="16"/>
        </w:rPr>
        <w:t>2020</w:t>
      </w:r>
      <w:proofErr w:type="gramEnd"/>
      <w:r>
        <w:rPr>
          <w:color w:val="666666"/>
          <w:sz w:val="16"/>
          <w:szCs w:val="16"/>
        </w:rPr>
        <w:t xml:space="preserve"> through May 31, 2024.</w:t>
      </w:r>
    </w:p>
  </w:endnote>
  <w:endnote w:id="24">
    <w:p w14:paraId="74E06F0A" w14:textId="77777777" w:rsidR="00C44AF5" w:rsidRDefault="00F25B3F">
      <w:pPr>
        <w:pStyle w:val="EndnoteText"/>
      </w:pPr>
      <w:r>
        <w:rPr>
          <w:rStyle w:val="EndnoteCharacters"/>
        </w:rPr>
        <w:endnoteRef/>
      </w:r>
      <w:r>
        <w:rPr>
          <w:color w:val="666666"/>
          <w:sz w:val="16"/>
          <w:szCs w:val="16"/>
        </w:rPr>
        <w:t xml:space="preserve"> IRS Form 990 (EIN 23-1297835), Part IX, Line 21 (Payments to Affiliates), fiscal year ending May 31, 2024.</w:t>
      </w:r>
    </w:p>
  </w:endnote>
  <w:endnote w:id="25">
    <w:p w14:paraId="6110D994" w14:textId="77777777" w:rsidR="00C44AF5" w:rsidRDefault="00F25B3F">
      <w:pPr>
        <w:pStyle w:val="EndnoteText"/>
      </w:pPr>
      <w:r>
        <w:rPr>
          <w:rStyle w:val="EndnoteCharacters"/>
        </w:rPr>
        <w:endnoteRef/>
      </w:r>
      <w:r>
        <w:rPr>
          <w:color w:val="666666"/>
          <w:sz w:val="16"/>
          <w:szCs w:val="16"/>
        </w:rPr>
        <w:t xml:space="preserve"> IRS Form 990 (EIN 23-1297835), Part IX, Line 5 (Officer Compensation) and Line 9 (Other Employee Benefits), fiscal year ending May 31, 2024.</w:t>
      </w:r>
    </w:p>
  </w:endnote>
  <w:endnote w:id="26">
    <w:p w14:paraId="5E77E1D9" w14:textId="77777777" w:rsidR="00C44AF5" w:rsidRDefault="00F25B3F">
      <w:pPr>
        <w:pStyle w:val="EndnoteText"/>
      </w:pPr>
      <w:r>
        <w:rPr>
          <w:rStyle w:val="EndnoteCharacters"/>
        </w:rPr>
        <w:endnoteRef/>
      </w:r>
      <w:r>
        <w:rPr>
          <w:color w:val="666666"/>
          <w:sz w:val="16"/>
          <w:szCs w:val="16"/>
        </w:rPr>
        <w:t xml:space="preserve"> IRS Form 990 (EIN 23-1297835), Part X (Balance Sheet), Line 19 (Grants Payable), fiscal year ending May 31, 2024.</w:t>
      </w:r>
    </w:p>
  </w:endnote>
  <w:endnote w:id="27">
    <w:p w14:paraId="38202EEE" w14:textId="77777777" w:rsidR="00C44AF5" w:rsidRDefault="00F25B3F">
      <w:pPr>
        <w:pStyle w:val="EndnoteText"/>
      </w:pPr>
      <w:r>
        <w:rPr>
          <w:rStyle w:val="EndnoteCharacters"/>
        </w:rPr>
        <w:endnoteRef/>
      </w:r>
      <w:r>
        <w:rPr>
          <w:color w:val="666666"/>
          <w:sz w:val="16"/>
          <w:szCs w:val="16"/>
        </w:rPr>
        <w:t xml:space="preserve"> State campaign finance filings via state-pac-widgets.vercel.app; Federal Election Commission filings for AFT-COPE (Committee ID C00028860), 2018–2025 cycles.</w:t>
      </w:r>
    </w:p>
  </w:endnote>
  <w:endnote w:id="28">
    <w:p w14:paraId="45B525EB" w14:textId="77777777" w:rsidR="00C44AF5" w:rsidRDefault="00F25B3F">
      <w:pPr>
        <w:pStyle w:val="EndnoteText"/>
      </w:pPr>
      <w:r>
        <w:rPr>
          <w:rStyle w:val="EndnoteCharacters"/>
        </w:rPr>
        <w:endnoteRef/>
      </w:r>
      <w:r>
        <w:rPr>
          <w:color w:val="666666"/>
          <w:sz w:val="16"/>
          <w:szCs w:val="16"/>
        </w:rPr>
        <w:t xml:space="preserve"> State campaign finance filings via state-pac-widgets.vercel.app; Federal Election Commission filings for AFT-COPE (Committee ID C00028860), 2018–2023 cycles.</w:t>
      </w:r>
    </w:p>
  </w:endnote>
  <w:endnote w:id="29">
    <w:p w14:paraId="517C90D2" w14:textId="77777777" w:rsidR="00C44AF5" w:rsidRDefault="00F25B3F">
      <w:pPr>
        <w:pStyle w:val="EndnoteText"/>
      </w:pPr>
      <w:r>
        <w:rPr>
          <w:rStyle w:val="EndnoteCharacters"/>
        </w:rPr>
        <w:endnoteRef/>
      </w:r>
      <w:r>
        <w:rPr>
          <w:color w:val="666666"/>
          <w:sz w:val="16"/>
          <w:szCs w:val="16"/>
        </w:rPr>
        <w:t xml:space="preserve"> IRS Form 990 (EIN 23-1297835), Parts I and IX, fiscal year ending May 31, 2024.</w:t>
      </w:r>
    </w:p>
  </w:endnote>
  <w:endnote w:id="30">
    <w:p w14:paraId="32CCAA12" w14:textId="77777777" w:rsidR="00C44AF5" w:rsidRDefault="00F25B3F">
      <w:pPr>
        <w:pStyle w:val="EndnoteText"/>
      </w:pPr>
      <w:r>
        <w:rPr>
          <w:rStyle w:val="EndnoteCharacters"/>
        </w:rPr>
        <w:endnoteRef/>
      </w:r>
      <w:r>
        <w:rPr>
          <w:color w:val="666666"/>
          <w:sz w:val="16"/>
          <w:szCs w:val="16"/>
        </w:rPr>
        <w:t xml:space="preserve"> IRS Form 990 (EIN 23-1297835), Part I (Revenue and Expenses), fiscal year ending May 31, 2024.</w:t>
      </w:r>
    </w:p>
  </w:endnote>
  <w:endnote w:id="31">
    <w:p w14:paraId="70A54FF3" w14:textId="77777777" w:rsidR="00C44AF5" w:rsidRDefault="00F25B3F">
      <w:pPr>
        <w:pStyle w:val="EndnoteText"/>
      </w:pPr>
      <w:r>
        <w:rPr>
          <w:rStyle w:val="EndnoteCharacters"/>
        </w:rPr>
        <w:endnoteRef/>
      </w:r>
      <w:r>
        <w:rPr>
          <w:color w:val="666666"/>
          <w:sz w:val="16"/>
          <w:szCs w:val="16"/>
        </w:rPr>
        <w:t xml:space="preserve"> IRS Form 990 (EIN 23-1297835), Part I (Total Personnel Costs), fiscal year ending May 31, 2024.</w:t>
      </w:r>
    </w:p>
  </w:endnote>
  <w:endnote w:id="32">
    <w:p w14:paraId="10F90E33" w14:textId="77777777" w:rsidR="00C44AF5" w:rsidRDefault="00F25B3F">
      <w:pPr>
        <w:pStyle w:val="EndnoteText"/>
      </w:pPr>
      <w:r>
        <w:rPr>
          <w:rStyle w:val="EndnoteCharacters"/>
        </w:rPr>
        <w:endnoteRef/>
      </w:r>
      <w:r>
        <w:rPr>
          <w:color w:val="666666"/>
          <w:sz w:val="16"/>
          <w:szCs w:val="16"/>
        </w:rPr>
        <w:t xml:space="preserve"> IRS Form 990 (EIN 23-1297835), Part I, Line 15 (Salaries, other compensation, employee benefits), fiscal year ending May 31, 2024.</w:t>
      </w:r>
    </w:p>
  </w:endnote>
  <w:endnote w:id="33">
    <w:p w14:paraId="3DA263D0" w14:textId="77777777" w:rsidR="00C44AF5" w:rsidRDefault="00F25B3F">
      <w:pPr>
        <w:pStyle w:val="EndnoteText"/>
      </w:pPr>
      <w:r>
        <w:rPr>
          <w:rStyle w:val="EndnoteCharacters"/>
        </w:rPr>
        <w:endnoteRef/>
      </w:r>
      <w:r>
        <w:rPr>
          <w:color w:val="666666"/>
          <w:sz w:val="16"/>
          <w:szCs w:val="16"/>
        </w:rPr>
        <w:t xml:space="preserve"> Philadelphia City Council, Bill No. 190555 (Councilmember Helen Gym, prime sponsor) and Philadelphia Commission on Human Relations regulations effective July 11, 2022; expand legal protections for transgender and gender nonconforming youth and create affirmative obligations on institutions serving youth.</w:t>
      </w:r>
    </w:p>
  </w:endnote>
  <w:endnote w:id="34">
    <w:p w14:paraId="19DBFFA0" w14:textId="77777777" w:rsidR="00C44AF5" w:rsidRDefault="00F25B3F">
      <w:pPr>
        <w:pStyle w:val="EndnoteText"/>
      </w:pPr>
      <w:r>
        <w:rPr>
          <w:rStyle w:val="EndnoteCharacters"/>
        </w:rPr>
        <w:endnoteRef/>
      </w:r>
      <w:r>
        <w:rPr>
          <w:color w:val="666666"/>
          <w:sz w:val="16"/>
          <w:szCs w:val="16"/>
        </w:rPr>
        <w:t xml:space="preserve"> "Council Passes Councilmember Gym's Bills Expanding Rights for Trans and Nonbinary Philadelphians," Philadelphia City Council; "City Expands Protections for Transgender and Gender Nonconforming Youth," City of Philadelphia Office of LGBTQ+ Affairs (July 19, 2022).</w:t>
      </w:r>
    </w:p>
  </w:endnote>
  <w:endnote w:id="35">
    <w:p w14:paraId="27EA6788" w14:textId="77777777" w:rsidR="00C44AF5" w:rsidRDefault="00F25B3F">
      <w:pPr>
        <w:pStyle w:val="EndnoteText"/>
      </w:pPr>
      <w:r>
        <w:rPr>
          <w:rStyle w:val="EndnoteCharacters"/>
        </w:rPr>
        <w:endnoteRef/>
      </w:r>
      <w:r>
        <w:rPr>
          <w:color w:val="666666"/>
          <w:sz w:val="16"/>
          <w:szCs w:val="16"/>
        </w:rPr>
        <w:t xml:space="preserve"> IRS Form 990 (EIN 23-1297835), Part I (Total Personnel Costs), fiscal year ending May 31, 2024.</w:t>
      </w:r>
    </w:p>
  </w:endnote>
  <w:endnote w:id="36">
    <w:p w14:paraId="66928E0B" w14:textId="77777777" w:rsidR="00C44AF5" w:rsidRDefault="00F25B3F">
      <w:pPr>
        <w:pStyle w:val="EndnoteText"/>
      </w:pPr>
      <w:r>
        <w:rPr>
          <w:rStyle w:val="EndnoteCharacters"/>
        </w:rPr>
        <w:endnoteRef/>
      </w:r>
      <w:r>
        <w:rPr>
          <w:color w:val="666666"/>
          <w:sz w:val="16"/>
          <w:szCs w:val="16"/>
        </w:rPr>
        <w:t xml:space="preserve"> IRS Form 990 (EIN 23-1297835), Part I, Line 15 (Salaries, other compensation, employee benefits), fiscal year ending May 31, 2024.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DejaVu Sans">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CAAB" w14:textId="77777777" w:rsidR="00C44AF5" w:rsidRDefault="00C44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04F8" w14:textId="77777777" w:rsidR="00C44AF5" w:rsidRDefault="00F25B3F">
    <w:pPr>
      <w:jc w:val="center"/>
    </w:pPr>
    <w:r>
      <w:rPr>
        <w:color w:val="666666"/>
        <w:sz w:val="16"/>
        <w:szCs w:val="16"/>
      </w:rPr>
      <w:t xml:space="preserve">Americans for Fair </w:t>
    </w:r>
    <w:proofErr w:type="gramStart"/>
    <w:r>
      <w:rPr>
        <w:color w:val="666666"/>
        <w:sz w:val="16"/>
        <w:szCs w:val="16"/>
      </w:rPr>
      <w:t>Treatment  |</w:t>
    </w:r>
    <w:proofErr w:type="gramEnd"/>
    <w:r>
      <w:rPr>
        <w:color w:val="666666"/>
        <w:sz w:val="16"/>
        <w:szCs w:val="16"/>
      </w:rPr>
      <w:t xml:space="preserve">  </w:t>
    </w:r>
    <w:proofErr w:type="gramStart"/>
    <w:r>
      <w:rPr>
        <w:color w:val="666666"/>
        <w:sz w:val="16"/>
        <w:szCs w:val="16"/>
      </w:rPr>
      <w:t>americansforfairtreatment.org  |</w:t>
    </w:r>
    <w:proofErr w:type="gramEnd"/>
    <w:r>
      <w:rPr>
        <w:color w:val="666666"/>
        <w:sz w:val="16"/>
        <w:szCs w:val="16"/>
      </w:rPr>
      <w:t xml:space="preserve">  Page </w:t>
    </w:r>
    <w:r>
      <w:rPr>
        <w:color w:val="666666"/>
        <w:sz w:val="16"/>
        <w:szCs w:val="16"/>
      </w:rPr>
      <w:fldChar w:fldCharType="begin"/>
    </w:r>
    <w:r>
      <w:rPr>
        <w:color w:val="666666"/>
        <w:sz w:val="16"/>
        <w:szCs w:val="16"/>
      </w:rPr>
      <w:instrText xml:space="preserve"> PAGE </w:instrText>
    </w:r>
    <w:r>
      <w:rPr>
        <w:color w:val="666666"/>
        <w:sz w:val="16"/>
        <w:szCs w:val="16"/>
      </w:rPr>
      <w:fldChar w:fldCharType="separate"/>
    </w:r>
    <w:r>
      <w:rPr>
        <w:color w:val="666666"/>
        <w:sz w:val="16"/>
        <w:szCs w:val="16"/>
      </w:rPr>
      <w:t>11</w:t>
    </w:r>
    <w:r>
      <w:rPr>
        <w:color w:val="666666"/>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94E8" w14:textId="77777777" w:rsidR="00C44AF5" w:rsidRDefault="00F25B3F">
    <w:pPr>
      <w:jc w:val="center"/>
    </w:pPr>
    <w:r>
      <w:rPr>
        <w:color w:val="666666"/>
        <w:sz w:val="16"/>
        <w:szCs w:val="16"/>
      </w:rPr>
      <w:t xml:space="preserve">Americans for Fair </w:t>
    </w:r>
    <w:proofErr w:type="gramStart"/>
    <w:r>
      <w:rPr>
        <w:color w:val="666666"/>
        <w:sz w:val="16"/>
        <w:szCs w:val="16"/>
      </w:rPr>
      <w:t>Treatment  |</w:t>
    </w:r>
    <w:proofErr w:type="gramEnd"/>
    <w:r>
      <w:rPr>
        <w:color w:val="666666"/>
        <w:sz w:val="16"/>
        <w:szCs w:val="16"/>
      </w:rPr>
      <w:t xml:space="preserve">  </w:t>
    </w:r>
    <w:proofErr w:type="gramStart"/>
    <w:r>
      <w:rPr>
        <w:color w:val="666666"/>
        <w:sz w:val="16"/>
        <w:szCs w:val="16"/>
      </w:rPr>
      <w:t>americansforfairtreatment.org  |</w:t>
    </w:r>
    <w:proofErr w:type="gramEnd"/>
    <w:r>
      <w:rPr>
        <w:color w:val="666666"/>
        <w:sz w:val="16"/>
        <w:szCs w:val="16"/>
      </w:rPr>
      <w:t xml:space="preserve">  Page </w:t>
    </w:r>
    <w:r>
      <w:rPr>
        <w:color w:val="666666"/>
        <w:sz w:val="16"/>
        <w:szCs w:val="16"/>
      </w:rPr>
      <w:fldChar w:fldCharType="begin"/>
    </w:r>
    <w:r>
      <w:rPr>
        <w:color w:val="666666"/>
        <w:sz w:val="16"/>
        <w:szCs w:val="16"/>
      </w:rPr>
      <w:instrText xml:space="preserve"> PAGE </w:instrText>
    </w:r>
    <w:r>
      <w:rPr>
        <w:color w:val="666666"/>
        <w:sz w:val="16"/>
        <w:szCs w:val="16"/>
      </w:rPr>
      <w:fldChar w:fldCharType="separate"/>
    </w:r>
    <w:r>
      <w:rPr>
        <w:color w:val="666666"/>
        <w:sz w:val="16"/>
        <w:szCs w:val="16"/>
      </w:rPr>
      <w:t>11</w:t>
    </w:r>
    <w:r>
      <w:rPr>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73C89" w14:textId="77777777" w:rsidR="004313A3" w:rsidRDefault="004313A3">
      <w:r>
        <w:separator/>
      </w:r>
    </w:p>
  </w:footnote>
  <w:footnote w:type="continuationSeparator" w:id="0">
    <w:p w14:paraId="75433569" w14:textId="77777777" w:rsidR="004313A3" w:rsidRDefault="00431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7213" w14:textId="77777777" w:rsidR="00C44AF5" w:rsidRDefault="00C44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AB84" w14:textId="77777777" w:rsidR="00C44AF5" w:rsidRDefault="00F25B3F">
    <w:pPr>
      <w:jc w:val="right"/>
    </w:pPr>
    <w:r>
      <w:rPr>
        <w:i/>
        <w:iCs/>
        <w:color w:val="666666"/>
        <w:sz w:val="16"/>
        <w:szCs w:val="16"/>
      </w:rPr>
      <w:t>Philadelphia Federation of Teachers — Where Do Your Union Dues 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6A60" w14:textId="77777777" w:rsidR="00C44AF5" w:rsidRDefault="00F25B3F">
    <w:pPr>
      <w:jc w:val="right"/>
    </w:pPr>
    <w:r>
      <w:rPr>
        <w:i/>
        <w:iCs/>
        <w:color w:val="666666"/>
        <w:sz w:val="16"/>
        <w:szCs w:val="16"/>
      </w:rPr>
      <w:t>Philadelphia Federation of Teachers — Where Do Your Union Dues Go?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autoHyphenation/>
  <w:hyphenationZone w:val="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AF5"/>
    <w:rsid w:val="00061584"/>
    <w:rsid w:val="00266875"/>
    <w:rsid w:val="004313A3"/>
    <w:rsid w:val="00492FCA"/>
    <w:rsid w:val="0053503C"/>
    <w:rsid w:val="00C44AF5"/>
    <w:rsid w:val="00C64D2C"/>
    <w:rsid w:val="00CC256F"/>
    <w:rsid w:val="00DC2716"/>
    <w:rsid w:val="00DD5890"/>
    <w:rsid w:val="00E82EC3"/>
    <w:rsid w:val="00EF7316"/>
    <w:rsid w:val="00F25B3F"/>
    <w:rsid w:val="04108D85"/>
    <w:rsid w:val="16F62181"/>
    <w:rsid w:val="278CE097"/>
    <w:rsid w:val="5599524A"/>
    <w:rsid w:val="6D1E6A5E"/>
    <w:rsid w:val="71BE108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F8156"/>
  <w15:docId w15:val="{8ACEF112-ED03-0A46-B360-83171293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customStyle="1" w:styleId="FootnoteCharactersuser">
    <w:name w:val="Footnote Characters (user)"/>
    <w:uiPriority w:val="99"/>
    <w:semiHidden/>
    <w:unhideWhenUsed/>
    <w:qFormat/>
    <w:rPr>
      <w:vertAlign w:val="superscript"/>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FootnoteTextChar">
    <w:name w:val="Footnote Text Char"/>
    <w:link w:val="FootnoteText"/>
    <w:uiPriority w:val="99"/>
    <w:semiHidden/>
    <w:unhideWhenUsed/>
    <w:qFormat/>
    <w:rPr>
      <w:sz w:val="20"/>
      <w:szCs w:val="20"/>
    </w:rPr>
  </w:style>
  <w:style w:type="character" w:customStyle="1" w:styleId="EndnoteCharactersuser">
    <w:name w:val="Endnote Characters (user)"/>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EndnoteTextChar">
    <w:name w:val="Endnote Text Char"/>
    <w:link w:val="EndnoteText"/>
    <w:uiPriority w:val="99"/>
    <w:semiHidden/>
    <w:unhideWhenUsed/>
    <w:qFormat/>
    <w:rPr>
      <w:sz w:val="20"/>
      <w:szCs w:val="20"/>
    </w:rPr>
  </w:style>
  <w:style w:type="character" w:styleId="CommentReference">
    <w:name w:val="annotation reference"/>
    <w:basedOn w:val="DefaultParagraphFont"/>
    <w:uiPriority w:val="99"/>
    <w:semiHidden/>
    <w:unhideWhenUsed/>
    <w:qFormat/>
    <w:rsid w:val="00846ED3"/>
    <w:rPr>
      <w:sz w:val="16"/>
      <w:szCs w:val="16"/>
    </w:rPr>
  </w:style>
  <w:style w:type="character" w:customStyle="1" w:styleId="CommentTextChar">
    <w:name w:val="Comment Text Char"/>
    <w:basedOn w:val="DefaultParagraphFont"/>
    <w:link w:val="CommentText"/>
    <w:uiPriority w:val="99"/>
    <w:qFormat/>
    <w:rsid w:val="00846ED3"/>
    <w:rPr>
      <w:sz w:val="20"/>
      <w:szCs w:val="20"/>
    </w:rPr>
  </w:style>
  <w:style w:type="character" w:customStyle="1" w:styleId="CommentSubjectChar">
    <w:name w:val="Comment Subject Char"/>
    <w:basedOn w:val="CommentTextChar"/>
    <w:link w:val="CommentSubject"/>
    <w:uiPriority w:val="99"/>
    <w:semiHidden/>
    <w:qFormat/>
    <w:rsid w:val="00846ED3"/>
    <w:rPr>
      <w:b/>
      <w:bCs/>
      <w:sz w:val="20"/>
      <w:szCs w:val="20"/>
    </w:rPr>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paragraph" w:styleId="FootnoteText">
    <w:name w:val="footnote text"/>
    <w:link w:val="FootnoteTextChar"/>
    <w:uiPriority w:val="99"/>
    <w:semiHidden/>
    <w:unhideWhenUsed/>
    <w:rPr>
      <w:sz w:val="20"/>
      <w:szCs w:val="20"/>
    </w:rPr>
  </w:style>
  <w:style w:type="paragraph" w:styleId="EndnoteText">
    <w:name w:val="endnote text"/>
    <w:link w:val="EndnoteTextChar"/>
    <w:uiPriority w:val="99"/>
    <w:semiHidden/>
    <w:unhideWhenUsed/>
    <w:rPr>
      <w:sz w:val="20"/>
      <w:szCs w:val="20"/>
    </w:rPr>
  </w:style>
  <w:style w:type="paragraph" w:styleId="CommentText">
    <w:name w:val="annotation text"/>
    <w:basedOn w:val="Normal"/>
    <w:link w:val="CommentTextChar"/>
    <w:uiPriority w:val="99"/>
    <w:unhideWhenUsed/>
    <w:rsid w:val="00846ED3"/>
    <w:rPr>
      <w:sz w:val="20"/>
      <w:szCs w:val="20"/>
    </w:rPr>
  </w:style>
  <w:style w:type="paragraph" w:styleId="CommentSubject">
    <w:name w:val="annotation subject"/>
    <w:basedOn w:val="CommentText"/>
    <w:next w:val="CommentText"/>
    <w:link w:val="CommentSubjectChar"/>
    <w:uiPriority w:val="99"/>
    <w:semiHidden/>
    <w:unhideWhenUsed/>
    <w:qFormat/>
    <w:rsid w:val="00846ED3"/>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3222</Words>
  <Characters>18368</Characters>
  <Application>Microsoft Office Word</Application>
  <DocSecurity>0</DocSecurity>
  <Lines>153</Lines>
  <Paragraphs>43</Paragraphs>
  <ScaleCrop>false</ScaleCrop>
  <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dc:description/>
  <cp:lastModifiedBy>Nick Morphew</cp:lastModifiedBy>
  <cp:revision>2</cp:revision>
  <dcterms:created xsi:type="dcterms:W3CDTF">2026-05-29T20:21:00Z</dcterms:created>
  <dcterms:modified xsi:type="dcterms:W3CDTF">2026-05-29T20:21:00Z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d907a667-3f5b-4b08-b46d-7b2c20a7e93c</vt:lpwstr>
  </property>
</Properties>
</file>